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
        <w:ind w:right="601"/>
        <w:jc w:val="center"/>
        <w:rPr>
          <w:b/>
          <w:bCs/>
          <w:spacing w:val="64"/>
          <w:sz w:val="48"/>
          <w:szCs w:val="48"/>
        </w:rPr>
      </w:pPr>
    </w:p>
    <w:p>
      <w:pPr>
        <w:spacing w:before="12" w:line="1200" w:lineRule="exact"/>
        <w:ind w:right="601"/>
        <w:jc w:val="center"/>
        <w:rPr>
          <w:b/>
          <w:bCs/>
          <w:spacing w:val="64"/>
          <w:sz w:val="52"/>
          <w:szCs w:val="52"/>
          <w:lang w:eastAsia="zh-CN"/>
        </w:rPr>
      </w:pPr>
      <w:r>
        <w:rPr>
          <w:rFonts w:hint="eastAsia"/>
          <w:b/>
          <w:bCs/>
          <w:spacing w:val="64"/>
          <w:sz w:val="52"/>
          <w:szCs w:val="52"/>
          <w:lang w:eastAsia="zh-CN"/>
        </w:rPr>
        <w:t>乐山职业技术学院</w:t>
      </w:r>
    </w:p>
    <w:p>
      <w:pPr>
        <w:spacing w:before="12" w:line="1200" w:lineRule="exact"/>
        <w:ind w:right="601"/>
        <w:jc w:val="center"/>
        <w:rPr>
          <w:b/>
          <w:bCs/>
          <w:sz w:val="80"/>
          <w:lang w:eastAsia="zh-CN"/>
        </w:rPr>
      </w:pPr>
      <w:r>
        <w:rPr>
          <w:b/>
          <w:bCs/>
          <w:spacing w:val="64"/>
          <w:sz w:val="52"/>
          <w:szCs w:val="52"/>
          <w:lang w:eastAsia="zh-CN"/>
        </w:rPr>
        <w:t>适应社会需求能力自评报告</w:t>
      </w:r>
      <w:r>
        <w:rPr>
          <w:b/>
          <w:bCs/>
          <w:sz w:val="52"/>
          <w:szCs w:val="52"/>
          <w:lang w:eastAsia="zh-CN"/>
        </w:rPr>
        <w:t xml:space="preserve"> </w:t>
      </w:r>
    </w:p>
    <w:p>
      <w:pPr>
        <w:spacing w:before="10" w:line="520" w:lineRule="exact"/>
        <w:ind w:left="84"/>
        <w:jc w:val="center"/>
        <w:rPr>
          <w:sz w:val="48"/>
          <w:lang w:eastAsia="zh-CN"/>
        </w:rPr>
      </w:pPr>
      <w:r>
        <w:rPr>
          <w:sz w:val="48"/>
          <w:lang w:eastAsia="zh-CN"/>
        </w:rPr>
        <w:t xml:space="preserve"> </w:t>
      </w:r>
    </w:p>
    <w:p>
      <w:pPr>
        <w:pStyle w:val="3"/>
        <w:ind w:left="0"/>
        <w:rPr>
          <w:sz w:val="20"/>
          <w:lang w:eastAsia="zh-CN"/>
        </w:rPr>
      </w:pPr>
    </w:p>
    <w:p>
      <w:pPr>
        <w:pStyle w:val="3"/>
        <w:ind w:left="0"/>
        <w:rPr>
          <w:sz w:val="20"/>
          <w:lang w:eastAsia="zh-CN"/>
        </w:rPr>
      </w:pPr>
    </w:p>
    <w:p>
      <w:pPr>
        <w:pStyle w:val="3"/>
        <w:ind w:left="0"/>
        <w:rPr>
          <w:sz w:val="20"/>
          <w:lang w:eastAsia="zh-CN"/>
        </w:rPr>
      </w:pPr>
    </w:p>
    <w:p>
      <w:pPr>
        <w:pStyle w:val="3"/>
        <w:ind w:left="0"/>
        <w:rPr>
          <w:sz w:val="20"/>
          <w:lang w:eastAsia="zh-CN"/>
        </w:rPr>
      </w:pPr>
    </w:p>
    <w:p>
      <w:pPr>
        <w:pStyle w:val="3"/>
        <w:spacing w:before="9"/>
        <w:ind w:left="0"/>
        <w:rPr>
          <w:sz w:val="17"/>
          <w:lang w:eastAsia="zh-CN"/>
        </w:rPr>
      </w:pPr>
    </w:p>
    <w:p>
      <w:pPr>
        <w:ind w:left="363"/>
        <w:jc w:val="center"/>
        <w:rPr>
          <w:b/>
          <w:sz w:val="21"/>
          <w:lang w:eastAsia="zh-CN"/>
        </w:rPr>
      </w:pPr>
      <w:r>
        <w:rPr>
          <w:b/>
          <w:w w:val="99"/>
          <w:sz w:val="21"/>
          <w:lang w:eastAsia="zh-CN"/>
        </w:rPr>
        <w:t xml:space="preserve"> </w:t>
      </w:r>
    </w:p>
    <w:p>
      <w:pPr>
        <w:spacing w:before="139"/>
        <w:ind w:left="363"/>
        <w:jc w:val="center"/>
        <w:rPr>
          <w:b/>
          <w:sz w:val="21"/>
          <w:lang w:eastAsia="zh-CN"/>
        </w:rPr>
      </w:pPr>
      <w:r>
        <w:rPr>
          <w:b/>
          <w:w w:val="99"/>
          <w:sz w:val="21"/>
          <w:lang w:eastAsia="zh-CN"/>
        </w:rPr>
        <w:t xml:space="preserve"> </w:t>
      </w:r>
    </w:p>
    <w:p>
      <w:pPr>
        <w:spacing w:before="141"/>
        <w:ind w:left="363"/>
        <w:jc w:val="center"/>
        <w:rPr>
          <w:b/>
          <w:sz w:val="21"/>
          <w:lang w:eastAsia="zh-CN"/>
        </w:rPr>
      </w:pPr>
      <w:r>
        <w:rPr>
          <w:b/>
          <w:w w:val="99"/>
          <w:sz w:val="21"/>
          <w:lang w:eastAsia="zh-CN"/>
        </w:rPr>
        <w:t xml:space="preserve"> </w:t>
      </w:r>
    </w:p>
    <w:p>
      <w:pPr>
        <w:spacing w:before="139"/>
        <w:ind w:left="363"/>
        <w:jc w:val="center"/>
        <w:rPr>
          <w:b/>
          <w:sz w:val="21"/>
          <w:lang w:eastAsia="zh-CN"/>
        </w:rPr>
      </w:pPr>
      <w:r>
        <w:rPr>
          <w:b/>
          <w:w w:val="99"/>
          <w:sz w:val="21"/>
          <w:lang w:eastAsia="zh-CN"/>
        </w:rPr>
        <w:t xml:space="preserve"> </w:t>
      </w:r>
    </w:p>
    <w:p>
      <w:pPr>
        <w:spacing w:before="139"/>
        <w:ind w:left="363"/>
        <w:jc w:val="center"/>
        <w:rPr>
          <w:b/>
          <w:w w:val="99"/>
          <w:sz w:val="21"/>
          <w:lang w:eastAsia="zh-CN"/>
        </w:rPr>
      </w:pPr>
    </w:p>
    <w:p>
      <w:pPr>
        <w:spacing w:before="139"/>
        <w:ind w:left="363"/>
        <w:jc w:val="center"/>
        <w:rPr>
          <w:b/>
          <w:w w:val="99"/>
          <w:sz w:val="21"/>
          <w:lang w:eastAsia="zh-CN"/>
        </w:rPr>
      </w:pPr>
    </w:p>
    <w:p>
      <w:pPr>
        <w:spacing w:before="139"/>
        <w:ind w:left="363"/>
        <w:jc w:val="center"/>
        <w:rPr>
          <w:b/>
          <w:w w:val="99"/>
          <w:sz w:val="21"/>
          <w:lang w:eastAsia="zh-CN"/>
        </w:rPr>
      </w:pPr>
    </w:p>
    <w:p>
      <w:pPr>
        <w:spacing w:before="139"/>
        <w:ind w:left="363"/>
        <w:jc w:val="center"/>
        <w:rPr>
          <w:b/>
          <w:w w:val="99"/>
          <w:sz w:val="21"/>
          <w:lang w:eastAsia="zh-CN"/>
        </w:rPr>
      </w:pPr>
    </w:p>
    <w:p>
      <w:pPr>
        <w:spacing w:before="139"/>
        <w:ind w:left="363"/>
        <w:jc w:val="center"/>
        <w:rPr>
          <w:b/>
          <w:w w:val="99"/>
          <w:sz w:val="21"/>
          <w:lang w:eastAsia="zh-CN"/>
        </w:rPr>
      </w:pPr>
    </w:p>
    <w:p>
      <w:pPr>
        <w:spacing w:before="139"/>
        <w:ind w:left="363"/>
        <w:jc w:val="center"/>
        <w:rPr>
          <w:b/>
          <w:w w:val="99"/>
          <w:sz w:val="21"/>
          <w:lang w:eastAsia="zh-CN"/>
        </w:rPr>
      </w:pPr>
    </w:p>
    <w:p>
      <w:pPr>
        <w:spacing w:before="139"/>
        <w:ind w:left="363"/>
        <w:jc w:val="center"/>
        <w:rPr>
          <w:b/>
          <w:sz w:val="21"/>
          <w:lang w:eastAsia="zh-CN"/>
        </w:rPr>
      </w:pPr>
      <w:r>
        <w:rPr>
          <w:b/>
          <w:w w:val="99"/>
          <w:sz w:val="21"/>
          <w:lang w:eastAsia="zh-CN"/>
        </w:rPr>
        <w:t xml:space="preserve"> </w:t>
      </w:r>
    </w:p>
    <w:p>
      <w:pPr>
        <w:spacing w:before="93"/>
        <w:jc w:val="center"/>
        <w:rPr>
          <w:b/>
          <w:sz w:val="48"/>
          <w:szCs w:val="48"/>
          <w:lang w:eastAsia="zh-CN"/>
        </w:rPr>
      </w:pPr>
    </w:p>
    <w:p>
      <w:pPr>
        <w:spacing w:before="93"/>
        <w:jc w:val="center"/>
        <w:rPr>
          <w:b/>
          <w:sz w:val="48"/>
          <w:szCs w:val="48"/>
          <w:lang w:eastAsia="zh-CN"/>
        </w:rPr>
      </w:pPr>
    </w:p>
    <w:p>
      <w:pPr>
        <w:spacing w:before="141"/>
        <w:ind w:right="155" w:firstLine="2891" w:firstLineChars="600"/>
        <w:jc w:val="both"/>
        <w:rPr>
          <w:b/>
          <w:sz w:val="48"/>
          <w:szCs w:val="48"/>
        </w:rPr>
      </w:pPr>
      <w:r>
        <w:rPr>
          <w:b/>
          <w:sz w:val="48"/>
          <w:szCs w:val="48"/>
        </w:rPr>
        <w:t>二</w:t>
      </w:r>
      <w:r>
        <w:rPr>
          <w:sz w:val="48"/>
          <w:szCs w:val="48"/>
        </w:rPr>
        <w:t>〇</w:t>
      </w:r>
      <w:r>
        <w:rPr>
          <w:b/>
          <w:sz w:val="48"/>
          <w:szCs w:val="48"/>
        </w:rPr>
        <w:t>二</w:t>
      </w:r>
      <w:r>
        <w:rPr>
          <w:sz w:val="48"/>
          <w:szCs w:val="48"/>
        </w:rPr>
        <w:t>〇</w:t>
      </w:r>
      <w:r>
        <w:rPr>
          <w:b/>
          <w:sz w:val="48"/>
          <w:szCs w:val="48"/>
        </w:rPr>
        <w:t>年</w:t>
      </w:r>
      <w:r>
        <w:rPr>
          <w:rFonts w:hint="eastAsia"/>
          <w:b/>
          <w:sz w:val="48"/>
          <w:szCs w:val="48"/>
          <w:lang w:eastAsia="zh-CN"/>
        </w:rPr>
        <w:t>九</w:t>
      </w:r>
      <w:r>
        <w:rPr>
          <w:b/>
          <w:sz w:val="48"/>
          <w:szCs w:val="48"/>
        </w:rPr>
        <w:t>月</w:t>
      </w:r>
    </w:p>
    <w:p>
      <w:pPr>
        <w:jc w:val="center"/>
        <w:rPr>
          <w:sz w:val="48"/>
          <w:szCs w:val="48"/>
        </w:rPr>
        <w:sectPr>
          <w:footerReference r:id="rId3" w:type="default"/>
          <w:pgSz w:w="11910" w:h="16850"/>
          <w:pgMar w:top="1600" w:right="1060" w:bottom="280" w:left="1220" w:header="720" w:footer="720" w:gutter="0"/>
          <w:pgNumType w:start="1"/>
          <w:cols w:equalWidth="0" w:num="1">
            <w:col w:w="9630"/>
          </w:cols>
        </w:sectPr>
      </w:pPr>
    </w:p>
    <w:p>
      <w:pPr>
        <w:pStyle w:val="2"/>
        <w:tabs>
          <w:tab w:val="left" w:pos="482"/>
        </w:tabs>
        <w:spacing w:before="91"/>
        <w:ind w:left="0" w:right="155"/>
        <w:jc w:val="center"/>
        <w:rPr>
          <w:rFonts w:ascii="黑体" w:hAnsi="黑体" w:eastAsia="黑体" w:cs="黑体"/>
          <w:lang w:eastAsia="zh-CN"/>
        </w:rPr>
      </w:pPr>
      <w:r>
        <w:rPr>
          <w:rFonts w:hint="eastAsia" w:ascii="黑体" w:hAnsi="黑体" w:eastAsia="黑体" w:cs="黑体"/>
          <w:lang w:eastAsia="zh-CN"/>
        </w:rPr>
        <w:t>目</w:t>
      </w:r>
      <w:r>
        <w:rPr>
          <w:rFonts w:hint="eastAsia" w:ascii="黑体" w:hAnsi="黑体" w:eastAsia="黑体" w:cs="黑体"/>
          <w:lang w:eastAsia="zh-CN"/>
        </w:rPr>
        <w:tab/>
      </w:r>
      <w:r>
        <w:rPr>
          <w:rFonts w:hint="eastAsia" w:ascii="黑体" w:hAnsi="黑体" w:eastAsia="黑体" w:cs="黑体"/>
          <w:lang w:eastAsia="zh-CN"/>
        </w:rPr>
        <w:t>录</w:t>
      </w:r>
    </w:p>
    <w:p>
      <w:pPr>
        <w:rPr>
          <w:lang w:eastAsia="zh-CN"/>
        </w:rPr>
      </w:pPr>
    </w:p>
    <w:p>
      <w:pPr>
        <w:pStyle w:val="7"/>
        <w:tabs>
          <w:tab w:val="right" w:leader="dot" w:pos="9260"/>
        </w:tabs>
        <w:spacing w:before="204"/>
        <w:rPr>
          <w:lang w:eastAsia="zh-CN"/>
        </w:rPr>
      </w:pPr>
      <w:r>
        <w:fldChar w:fldCharType="begin"/>
      </w:r>
      <w:r>
        <w:instrText xml:space="preserve"> HYPERLINK \l "_TOC_250026" </w:instrText>
      </w:r>
      <w:r>
        <w:fldChar w:fldCharType="separate"/>
      </w:r>
      <w:r>
        <w:rPr>
          <w:lang w:eastAsia="zh-CN"/>
        </w:rPr>
        <w:t>一、办学基础能力</w:t>
      </w:r>
      <w:r>
        <w:rPr>
          <w:b w:val="0"/>
          <w:bCs w:val="0"/>
          <w:lang w:eastAsia="zh-CN"/>
        </w:rPr>
        <w:tab/>
      </w:r>
      <w:r>
        <w:rPr>
          <w:b w:val="0"/>
          <w:bCs w:val="0"/>
          <w:lang w:eastAsia="zh-CN"/>
        </w:rPr>
        <w:fldChar w:fldCharType="end"/>
      </w:r>
      <w:r>
        <w:rPr>
          <w:rFonts w:hint="eastAsia"/>
          <w:b w:val="0"/>
          <w:bCs w:val="0"/>
          <w:lang w:eastAsia="zh-CN"/>
        </w:rPr>
        <w:t>1</w:t>
      </w:r>
    </w:p>
    <w:p>
      <w:pPr>
        <w:pStyle w:val="8"/>
        <w:tabs>
          <w:tab w:val="right" w:leader="dot" w:pos="9260"/>
        </w:tabs>
        <w:spacing w:before="211"/>
        <w:rPr>
          <w:lang w:eastAsia="zh-CN"/>
        </w:rPr>
      </w:pPr>
      <w:r>
        <w:fldChar w:fldCharType="begin"/>
      </w:r>
      <w:r>
        <w:instrText xml:space="preserve"> HYPERLINK \l "_TOC_250025" </w:instrText>
      </w:r>
      <w:r>
        <w:fldChar w:fldCharType="separate"/>
      </w:r>
      <w:r>
        <w:rPr>
          <w:lang w:eastAsia="zh-CN"/>
        </w:rPr>
        <w:t>（一）学院概况</w:t>
      </w:r>
      <w:r>
        <w:rPr>
          <w:lang w:eastAsia="zh-CN"/>
        </w:rPr>
        <w:tab/>
      </w:r>
      <w:r>
        <w:rPr>
          <w:lang w:eastAsia="zh-CN"/>
        </w:rPr>
        <w:fldChar w:fldCharType="end"/>
      </w:r>
      <w:r>
        <w:rPr>
          <w:rFonts w:hint="eastAsia"/>
          <w:lang w:eastAsia="zh-CN"/>
        </w:rPr>
        <w:t>1</w:t>
      </w:r>
    </w:p>
    <w:p>
      <w:pPr>
        <w:pStyle w:val="8"/>
        <w:tabs>
          <w:tab w:val="right" w:leader="dot" w:pos="9260"/>
        </w:tabs>
        <w:rPr>
          <w:lang w:eastAsia="zh-CN"/>
        </w:rPr>
      </w:pPr>
      <w:r>
        <w:fldChar w:fldCharType="begin"/>
      </w:r>
      <w:r>
        <w:rPr>
          <w:lang w:eastAsia="zh-CN"/>
        </w:rPr>
        <w:instrText xml:space="preserve"> HYPERLINK \l "_TOC_250024" </w:instrText>
      </w:r>
      <w:r>
        <w:fldChar w:fldCharType="separate"/>
      </w:r>
      <w:r>
        <w:rPr>
          <w:lang w:eastAsia="zh-CN"/>
        </w:rPr>
        <w:t>（二）年生均财政拨款水平</w:t>
      </w:r>
      <w:r>
        <w:rPr>
          <w:lang w:eastAsia="zh-CN"/>
        </w:rPr>
        <w:tab/>
      </w:r>
      <w:r>
        <w:rPr>
          <w:lang w:eastAsia="zh-CN"/>
        </w:rPr>
        <w:fldChar w:fldCharType="end"/>
      </w:r>
      <w:r>
        <w:rPr>
          <w:rFonts w:hint="eastAsia"/>
          <w:lang w:eastAsia="zh-CN"/>
        </w:rPr>
        <w:t>2</w:t>
      </w:r>
    </w:p>
    <w:p>
      <w:pPr>
        <w:pStyle w:val="8"/>
        <w:tabs>
          <w:tab w:val="right" w:leader="dot" w:pos="9260"/>
        </w:tabs>
        <w:rPr>
          <w:lang w:eastAsia="zh-CN"/>
        </w:rPr>
      </w:pPr>
      <w:r>
        <w:fldChar w:fldCharType="begin"/>
      </w:r>
      <w:r>
        <w:instrText xml:space="preserve"> HYPERLINK \l "_TOC_250023" </w:instrText>
      </w:r>
      <w:r>
        <w:fldChar w:fldCharType="separate"/>
      </w:r>
      <w:r>
        <w:rPr>
          <w:lang w:eastAsia="zh-CN"/>
        </w:rPr>
        <w:t>（三）教学</w:t>
      </w:r>
      <w:r>
        <w:rPr>
          <w:rFonts w:hint="eastAsia"/>
          <w:lang w:eastAsia="zh-CN"/>
        </w:rPr>
        <w:t>、科研</w:t>
      </w:r>
      <w:r>
        <w:rPr>
          <w:lang w:eastAsia="zh-CN"/>
        </w:rPr>
        <w:t>仪器设备</w:t>
      </w:r>
      <w:r>
        <w:rPr>
          <w:rFonts w:hint="eastAsia"/>
          <w:lang w:eastAsia="zh-CN"/>
        </w:rPr>
        <w:t>值</w:t>
      </w:r>
      <w:r>
        <w:rPr>
          <w:lang w:eastAsia="zh-CN"/>
        </w:rPr>
        <w:tab/>
      </w:r>
      <w:r>
        <w:rPr>
          <w:lang w:eastAsia="zh-CN"/>
        </w:rPr>
        <w:fldChar w:fldCharType="end"/>
      </w:r>
      <w:r>
        <w:rPr>
          <w:rFonts w:hint="eastAsia"/>
          <w:lang w:eastAsia="zh-CN"/>
        </w:rPr>
        <w:t>2</w:t>
      </w:r>
    </w:p>
    <w:p>
      <w:pPr>
        <w:pStyle w:val="8"/>
        <w:tabs>
          <w:tab w:val="right" w:leader="dot" w:pos="9260"/>
        </w:tabs>
        <w:spacing w:before="91"/>
        <w:rPr>
          <w:lang w:eastAsia="zh-CN"/>
        </w:rPr>
      </w:pPr>
      <w:r>
        <w:fldChar w:fldCharType="begin"/>
      </w:r>
      <w:r>
        <w:instrText xml:space="preserve"> HYPERLINK \l "_TOC_250022" </w:instrText>
      </w:r>
      <w:r>
        <w:fldChar w:fldCharType="separate"/>
      </w:r>
      <w:r>
        <w:rPr>
          <w:lang w:eastAsia="zh-CN"/>
        </w:rPr>
        <w:t>（四）教学及辅助、行政办公用房面积</w:t>
      </w:r>
      <w:r>
        <w:rPr>
          <w:lang w:eastAsia="zh-CN"/>
        </w:rPr>
        <w:tab/>
      </w:r>
      <w:r>
        <w:rPr>
          <w:rFonts w:hint="eastAsia"/>
          <w:lang w:eastAsia="zh-CN"/>
        </w:rPr>
        <w:t>3</w:t>
      </w:r>
      <w:r>
        <w:rPr>
          <w:rFonts w:hint="eastAsia"/>
          <w:lang w:eastAsia="zh-CN"/>
        </w:rPr>
        <w:fldChar w:fldCharType="end"/>
      </w:r>
    </w:p>
    <w:p>
      <w:pPr>
        <w:pStyle w:val="8"/>
        <w:tabs>
          <w:tab w:val="right" w:leader="dot" w:pos="9260"/>
        </w:tabs>
        <w:rPr>
          <w:lang w:eastAsia="zh-CN"/>
        </w:rPr>
      </w:pPr>
      <w:r>
        <w:fldChar w:fldCharType="begin"/>
      </w:r>
      <w:r>
        <w:instrText xml:space="preserve"> HYPERLINK \l "_TOC_250021" </w:instrText>
      </w:r>
      <w:r>
        <w:fldChar w:fldCharType="separate"/>
      </w:r>
      <w:r>
        <w:rPr>
          <w:lang w:eastAsia="zh-CN"/>
        </w:rPr>
        <w:t>（五）信息化教学条件</w:t>
      </w:r>
      <w:r>
        <w:rPr>
          <w:lang w:eastAsia="zh-CN"/>
        </w:rPr>
        <w:tab/>
      </w:r>
      <w:r>
        <w:rPr>
          <w:lang w:eastAsia="zh-CN"/>
        </w:rPr>
        <w:fldChar w:fldCharType="end"/>
      </w:r>
      <w:r>
        <w:rPr>
          <w:rFonts w:hint="eastAsia"/>
          <w:lang w:eastAsia="zh-CN"/>
        </w:rPr>
        <w:t>3</w:t>
      </w:r>
    </w:p>
    <w:p>
      <w:pPr>
        <w:pStyle w:val="8"/>
        <w:tabs>
          <w:tab w:val="right" w:leader="dot" w:pos="9260"/>
        </w:tabs>
        <w:spacing w:before="94"/>
        <w:rPr>
          <w:lang w:eastAsia="zh-CN"/>
        </w:rPr>
      </w:pPr>
      <w:r>
        <w:fldChar w:fldCharType="begin"/>
      </w:r>
      <w:r>
        <w:instrText xml:space="preserve"> HYPERLINK \l "_TOC_250020" </w:instrText>
      </w:r>
      <w:r>
        <w:fldChar w:fldCharType="separate"/>
      </w:r>
      <w:r>
        <w:rPr>
          <w:lang w:eastAsia="zh-CN"/>
        </w:rPr>
        <w:t>（六）校内实践教学</w:t>
      </w:r>
      <w:r>
        <w:rPr>
          <w:rFonts w:hint="eastAsia"/>
          <w:lang w:eastAsia="zh-CN"/>
        </w:rPr>
        <w:t>条件</w:t>
      </w:r>
      <w:r>
        <w:rPr>
          <w:lang w:eastAsia="zh-CN"/>
        </w:rPr>
        <w:tab/>
      </w:r>
      <w:r>
        <w:rPr>
          <w:rFonts w:hint="eastAsia"/>
          <w:lang w:eastAsia="zh-CN"/>
        </w:rPr>
        <w:t>4</w:t>
      </w:r>
      <w:r>
        <w:rPr>
          <w:rFonts w:hint="eastAsia"/>
          <w:lang w:eastAsia="zh-CN"/>
        </w:rPr>
        <w:fldChar w:fldCharType="end"/>
      </w:r>
    </w:p>
    <w:p>
      <w:pPr>
        <w:pStyle w:val="7"/>
        <w:numPr>
          <w:ilvl w:val="0"/>
          <w:numId w:val="1"/>
        </w:numPr>
        <w:tabs>
          <w:tab w:val="right" w:leader="dot" w:pos="9260"/>
        </w:tabs>
        <w:rPr>
          <w:b w:val="0"/>
          <w:bCs w:val="0"/>
          <w:lang w:eastAsia="zh-CN"/>
        </w:rPr>
      </w:pPr>
      <w:r>
        <w:rPr>
          <w:rFonts w:hint="eastAsia"/>
          <w:lang w:eastAsia="zh-CN"/>
        </w:rPr>
        <w:t>“双师”</w:t>
      </w:r>
      <w:r>
        <w:t>队伍建设</w:t>
      </w:r>
      <w:r>
        <w:rPr>
          <w:b w:val="0"/>
          <w:bCs w:val="0"/>
        </w:rPr>
        <w:tab/>
      </w:r>
      <w:r>
        <w:rPr>
          <w:rFonts w:hint="eastAsia"/>
          <w:b w:val="0"/>
          <w:bCs w:val="0"/>
          <w:lang w:eastAsia="zh-CN"/>
        </w:rPr>
        <w:t>5</w:t>
      </w:r>
    </w:p>
    <w:p>
      <w:pPr>
        <w:pStyle w:val="8"/>
        <w:tabs>
          <w:tab w:val="right" w:leader="dot" w:pos="9260"/>
        </w:tabs>
        <w:rPr>
          <w:lang w:eastAsia="zh-CN"/>
        </w:rPr>
      </w:pPr>
      <w:r>
        <w:fldChar w:fldCharType="begin"/>
      </w:r>
      <w:r>
        <w:instrText xml:space="preserve"> HYPERLINK \l "_TOC_250016" </w:instrText>
      </w:r>
      <w:r>
        <w:fldChar w:fldCharType="separate"/>
      </w:r>
      <w:r>
        <w:rPr>
          <w:lang w:eastAsia="zh-CN"/>
        </w:rPr>
        <w:t>（一）</w:t>
      </w:r>
      <w:r>
        <w:rPr>
          <w:rFonts w:hint="eastAsia"/>
          <w:lang w:eastAsia="zh-CN"/>
        </w:rPr>
        <w:t>改革体制机制，完善制度保障教师发展</w:t>
      </w:r>
      <w:r>
        <w:rPr>
          <w:lang w:eastAsia="zh-CN"/>
        </w:rPr>
        <w:tab/>
      </w:r>
      <w:r>
        <w:rPr>
          <w:rFonts w:hint="eastAsia"/>
          <w:lang w:eastAsia="zh-CN"/>
        </w:rPr>
        <w:t>5</w:t>
      </w:r>
      <w:r>
        <w:rPr>
          <w:rFonts w:hint="eastAsia"/>
          <w:lang w:eastAsia="zh-CN"/>
        </w:rPr>
        <w:fldChar w:fldCharType="end"/>
      </w:r>
    </w:p>
    <w:p>
      <w:pPr>
        <w:pStyle w:val="8"/>
        <w:tabs>
          <w:tab w:val="right" w:leader="dot" w:pos="9260"/>
        </w:tabs>
        <w:rPr>
          <w:lang w:eastAsia="zh-CN"/>
        </w:rPr>
      </w:pPr>
      <w:r>
        <w:fldChar w:fldCharType="begin"/>
      </w:r>
      <w:r>
        <w:rPr>
          <w:lang w:eastAsia="zh-CN"/>
        </w:rPr>
        <w:instrText xml:space="preserve"> HYPERLINK \l "_TOC_250024" </w:instrText>
      </w:r>
      <w:r>
        <w:fldChar w:fldCharType="separate"/>
      </w:r>
      <w:r>
        <w:rPr>
          <w:lang w:eastAsia="zh-CN"/>
        </w:rPr>
        <w:t>（二）</w:t>
      </w:r>
      <w:r>
        <w:rPr>
          <w:rFonts w:hint="eastAsia"/>
          <w:lang w:eastAsia="zh-CN"/>
        </w:rPr>
        <w:t>建好用好师培基地，促进教师专业发展</w:t>
      </w:r>
      <w:r>
        <w:rPr>
          <w:lang w:eastAsia="zh-CN"/>
        </w:rPr>
        <w:tab/>
      </w:r>
      <w:r>
        <w:rPr>
          <w:rFonts w:hint="eastAsia"/>
          <w:lang w:eastAsia="zh-CN"/>
        </w:rPr>
        <w:t>6</w:t>
      </w:r>
    </w:p>
    <w:p>
      <w:pPr>
        <w:pStyle w:val="8"/>
        <w:tabs>
          <w:tab w:val="right" w:leader="dot" w:pos="9260"/>
        </w:tabs>
        <w:rPr>
          <w:lang w:eastAsia="zh-CN"/>
        </w:rPr>
      </w:pPr>
      <w:r>
        <w:rPr>
          <w:rFonts w:hint="eastAsia"/>
          <w:lang w:eastAsia="zh-CN"/>
        </w:rPr>
        <w:t>（三）实施强师工程，助力高水平双师队伍建设</w:t>
      </w:r>
      <w:r>
        <w:rPr>
          <w:lang w:eastAsia="zh-CN"/>
        </w:rPr>
        <w:tab/>
      </w:r>
      <w:r>
        <w:fldChar w:fldCharType="end"/>
      </w:r>
      <w:r>
        <w:rPr>
          <w:rFonts w:hint="eastAsia"/>
          <w:lang w:eastAsia="zh-CN"/>
        </w:rPr>
        <w:t>6</w:t>
      </w:r>
    </w:p>
    <w:p>
      <w:pPr>
        <w:pStyle w:val="7"/>
        <w:tabs>
          <w:tab w:val="right" w:leader="dot" w:pos="9260"/>
        </w:tabs>
        <w:rPr>
          <w:lang w:eastAsia="zh-CN"/>
        </w:rPr>
      </w:pPr>
      <w:r>
        <w:fldChar w:fldCharType="begin"/>
      </w:r>
      <w:r>
        <w:instrText xml:space="preserve"> HYPERLINK \l "_TOC_250017" </w:instrText>
      </w:r>
      <w:r>
        <w:fldChar w:fldCharType="separate"/>
      </w:r>
      <w:r>
        <w:rPr>
          <w:lang w:eastAsia="zh-CN"/>
        </w:rPr>
        <w:t>三、专业人才培养</w:t>
      </w:r>
      <w:r>
        <w:rPr>
          <w:b w:val="0"/>
          <w:bCs w:val="0"/>
          <w:lang w:eastAsia="zh-CN"/>
        </w:rPr>
        <w:tab/>
      </w:r>
      <w:r>
        <w:rPr>
          <w:b w:val="0"/>
          <w:bCs w:val="0"/>
          <w:lang w:eastAsia="zh-CN"/>
        </w:rPr>
        <w:fldChar w:fldCharType="end"/>
      </w:r>
      <w:r>
        <w:rPr>
          <w:rFonts w:hint="eastAsia"/>
          <w:b w:val="0"/>
          <w:bCs w:val="0"/>
          <w:lang w:eastAsia="zh-CN"/>
        </w:rPr>
        <w:t>7</w:t>
      </w:r>
    </w:p>
    <w:p>
      <w:pPr>
        <w:pStyle w:val="8"/>
        <w:tabs>
          <w:tab w:val="right" w:leader="dot" w:pos="9260"/>
        </w:tabs>
        <w:spacing w:before="213"/>
        <w:rPr>
          <w:lang w:eastAsia="zh-CN"/>
        </w:rPr>
      </w:pPr>
      <w:r>
        <w:fldChar w:fldCharType="begin"/>
      </w:r>
      <w:r>
        <w:instrText xml:space="preserve"> HYPERLINK \l "_TOC_250016" </w:instrText>
      </w:r>
      <w:r>
        <w:fldChar w:fldCharType="separate"/>
      </w:r>
      <w:r>
        <w:rPr>
          <w:lang w:eastAsia="zh-CN"/>
        </w:rPr>
        <w:t>（一）课程</w:t>
      </w:r>
      <w:r>
        <w:rPr>
          <w:rFonts w:hint="eastAsia"/>
          <w:lang w:eastAsia="zh-CN"/>
        </w:rPr>
        <w:t>体系</w:t>
      </w:r>
      <w:r>
        <w:rPr>
          <w:lang w:eastAsia="zh-CN"/>
        </w:rPr>
        <w:t>结构</w:t>
      </w:r>
      <w:r>
        <w:rPr>
          <w:lang w:eastAsia="zh-CN"/>
        </w:rPr>
        <w:tab/>
      </w:r>
      <w:r>
        <w:rPr>
          <w:lang w:eastAsia="zh-CN"/>
        </w:rPr>
        <w:fldChar w:fldCharType="end"/>
      </w:r>
      <w:r>
        <w:rPr>
          <w:rFonts w:hint="eastAsia"/>
          <w:lang w:eastAsia="zh-CN"/>
        </w:rPr>
        <w:t>7</w:t>
      </w:r>
    </w:p>
    <w:p>
      <w:pPr>
        <w:pStyle w:val="8"/>
        <w:tabs>
          <w:tab w:val="right" w:leader="dot" w:pos="9260"/>
        </w:tabs>
        <w:rPr>
          <w:lang w:eastAsia="zh-CN"/>
        </w:rPr>
      </w:pPr>
      <w:r>
        <w:fldChar w:fldCharType="begin"/>
      </w:r>
      <w:r>
        <w:instrText xml:space="preserve"> HYPERLINK \l "_TOC_250015" </w:instrText>
      </w:r>
      <w:r>
        <w:fldChar w:fldCharType="separate"/>
      </w:r>
      <w:r>
        <w:rPr>
          <w:lang w:eastAsia="zh-CN"/>
        </w:rPr>
        <w:t>（二）校外</w:t>
      </w:r>
      <w:r>
        <w:rPr>
          <w:rFonts w:hint="eastAsia"/>
          <w:lang w:eastAsia="zh-CN"/>
        </w:rPr>
        <w:t>实习</w:t>
      </w:r>
      <w:r>
        <w:rPr>
          <w:lang w:eastAsia="zh-CN"/>
        </w:rPr>
        <w:t>实训基地</w:t>
      </w:r>
      <w:r>
        <w:rPr>
          <w:lang w:eastAsia="zh-CN"/>
        </w:rPr>
        <w:tab/>
      </w:r>
      <w:r>
        <w:rPr>
          <w:lang w:eastAsia="zh-CN"/>
        </w:rPr>
        <w:fldChar w:fldCharType="end"/>
      </w:r>
      <w:r>
        <w:rPr>
          <w:rFonts w:hint="eastAsia"/>
          <w:lang w:eastAsia="zh-CN"/>
        </w:rPr>
        <w:t>7</w:t>
      </w:r>
    </w:p>
    <w:p>
      <w:pPr>
        <w:pStyle w:val="8"/>
        <w:tabs>
          <w:tab w:val="right" w:leader="dot" w:pos="9260"/>
        </w:tabs>
        <w:spacing w:before="92"/>
        <w:rPr>
          <w:lang w:eastAsia="zh-CN"/>
        </w:rPr>
      </w:pPr>
      <w:r>
        <w:fldChar w:fldCharType="begin"/>
      </w:r>
      <w:r>
        <w:instrText xml:space="preserve"> HYPERLINK \l "_TOC_250014" </w:instrText>
      </w:r>
      <w:r>
        <w:fldChar w:fldCharType="separate"/>
      </w:r>
      <w:r>
        <w:rPr>
          <w:lang w:eastAsia="zh-CN"/>
        </w:rPr>
        <w:t>（三）企业订单学生所占比例</w:t>
      </w:r>
      <w:r>
        <w:rPr>
          <w:lang w:eastAsia="zh-CN"/>
        </w:rPr>
        <w:tab/>
      </w:r>
      <w:r>
        <w:rPr>
          <w:lang w:eastAsia="zh-CN"/>
        </w:rPr>
        <w:fldChar w:fldCharType="end"/>
      </w:r>
      <w:r>
        <w:rPr>
          <w:rFonts w:hint="eastAsia"/>
          <w:lang w:eastAsia="zh-CN"/>
        </w:rPr>
        <w:t>8</w:t>
      </w:r>
    </w:p>
    <w:p>
      <w:pPr>
        <w:pStyle w:val="8"/>
        <w:tabs>
          <w:tab w:val="right" w:leader="dot" w:pos="9260"/>
        </w:tabs>
        <w:rPr>
          <w:color w:val="FF0000"/>
          <w:lang w:eastAsia="zh-CN"/>
        </w:rPr>
      </w:pPr>
      <w:r>
        <w:fldChar w:fldCharType="begin"/>
      </w:r>
      <w:r>
        <w:rPr>
          <w:lang w:eastAsia="zh-CN"/>
        </w:rPr>
        <w:instrText xml:space="preserve"> HYPERLINK \l "_TOC_250013" </w:instrText>
      </w:r>
      <w:r>
        <w:fldChar w:fldCharType="separate"/>
      </w:r>
      <w:r>
        <w:rPr>
          <w:lang w:eastAsia="zh-CN"/>
        </w:rPr>
        <w:t>（四）年支付企业兼职教师课酬</w:t>
      </w:r>
      <w:r>
        <w:rPr>
          <w:lang w:eastAsia="zh-CN"/>
        </w:rPr>
        <w:tab/>
      </w:r>
      <w:r>
        <w:rPr>
          <w:lang w:eastAsia="zh-CN"/>
        </w:rPr>
        <w:fldChar w:fldCharType="end"/>
      </w:r>
      <w:r>
        <w:rPr>
          <w:rFonts w:hint="eastAsia"/>
          <w:lang w:eastAsia="zh-CN"/>
        </w:rPr>
        <w:t>8</w:t>
      </w:r>
    </w:p>
    <w:p>
      <w:pPr>
        <w:pStyle w:val="8"/>
        <w:tabs>
          <w:tab w:val="right" w:leader="dot" w:pos="9260"/>
        </w:tabs>
        <w:spacing w:before="91"/>
        <w:rPr>
          <w:lang w:eastAsia="zh-CN"/>
        </w:rPr>
      </w:pPr>
      <w:r>
        <w:fldChar w:fldCharType="begin"/>
      </w:r>
      <w:r>
        <w:instrText xml:space="preserve"> HYPERLINK \l "_TOC_250011" </w:instrText>
      </w:r>
      <w:r>
        <w:fldChar w:fldCharType="separate"/>
      </w:r>
      <w:r>
        <w:rPr>
          <w:lang w:eastAsia="zh-CN"/>
        </w:rPr>
        <w:t>（</w:t>
      </w:r>
      <w:r>
        <w:rPr>
          <w:rFonts w:hint="eastAsia"/>
          <w:lang w:eastAsia="zh-CN"/>
        </w:rPr>
        <w:t>五</w:t>
      </w:r>
      <w:r>
        <w:rPr>
          <w:lang w:eastAsia="zh-CN"/>
        </w:rPr>
        <w:t>）</w:t>
      </w:r>
      <w:r>
        <w:rPr>
          <w:rFonts w:hint="eastAsia"/>
          <w:lang w:eastAsia="zh-CN"/>
        </w:rPr>
        <w:t>专业与当地产业匹配度</w:t>
      </w:r>
      <w:r>
        <w:rPr>
          <w:lang w:eastAsia="zh-CN"/>
        </w:rPr>
        <w:tab/>
      </w:r>
      <w:r>
        <w:rPr>
          <w:lang w:eastAsia="zh-CN"/>
        </w:rPr>
        <w:fldChar w:fldCharType="end"/>
      </w:r>
      <w:r>
        <w:rPr>
          <w:rFonts w:hint="eastAsia"/>
          <w:lang w:eastAsia="zh-CN"/>
        </w:rPr>
        <w:t>8</w:t>
      </w:r>
    </w:p>
    <w:p>
      <w:pPr>
        <w:pStyle w:val="8"/>
        <w:tabs>
          <w:tab w:val="right" w:leader="dot" w:pos="9260"/>
        </w:tabs>
        <w:spacing w:before="94"/>
        <w:rPr>
          <w:lang w:eastAsia="zh-CN"/>
        </w:rPr>
      </w:pPr>
      <w:r>
        <w:fldChar w:fldCharType="begin"/>
      </w:r>
      <w:r>
        <w:instrText xml:space="preserve"> HYPERLINK \l "_TOC_250009" </w:instrText>
      </w:r>
      <w:r>
        <w:fldChar w:fldCharType="separate"/>
      </w:r>
      <w:r>
        <w:rPr>
          <w:lang w:eastAsia="zh-CN"/>
        </w:rPr>
        <w:t>（</w:t>
      </w:r>
      <w:r>
        <w:rPr>
          <w:rFonts w:hint="eastAsia"/>
          <w:lang w:eastAsia="zh-CN"/>
        </w:rPr>
        <w:t>六</w:t>
      </w:r>
      <w:r>
        <w:rPr>
          <w:lang w:eastAsia="zh-CN"/>
        </w:rPr>
        <w:t>）招生计划完成</w:t>
      </w:r>
      <w:r>
        <w:rPr>
          <w:rFonts w:hint="eastAsia"/>
          <w:lang w:eastAsia="zh-CN"/>
        </w:rPr>
        <w:t>度</w:t>
      </w:r>
      <w:r>
        <w:rPr>
          <w:lang w:eastAsia="zh-CN"/>
        </w:rPr>
        <w:tab/>
      </w:r>
      <w:r>
        <w:rPr>
          <w:lang w:eastAsia="zh-CN"/>
        </w:rPr>
        <w:fldChar w:fldCharType="end"/>
      </w:r>
      <w:r>
        <w:rPr>
          <w:rFonts w:hint="eastAsia"/>
          <w:lang w:eastAsia="zh-CN"/>
        </w:rPr>
        <w:t>9</w:t>
      </w:r>
    </w:p>
    <w:p>
      <w:pPr>
        <w:pStyle w:val="7"/>
        <w:tabs>
          <w:tab w:val="right" w:leader="dot" w:pos="9260"/>
        </w:tabs>
        <w:rPr>
          <w:b w:val="0"/>
          <w:bCs w:val="0"/>
          <w:lang w:eastAsia="zh-CN"/>
        </w:rPr>
      </w:pPr>
      <w:r>
        <w:fldChar w:fldCharType="begin"/>
      </w:r>
      <w:r>
        <w:instrText xml:space="preserve"> HYPERLINK \l "_TOC_250008" </w:instrText>
      </w:r>
      <w:r>
        <w:fldChar w:fldCharType="separate"/>
      </w:r>
      <w:r>
        <w:rPr>
          <w:lang w:eastAsia="zh-CN"/>
        </w:rPr>
        <w:t>四、学生发展</w:t>
      </w:r>
      <w:r>
        <w:rPr>
          <w:b w:val="0"/>
          <w:bCs w:val="0"/>
          <w:lang w:eastAsia="zh-CN"/>
        </w:rPr>
        <w:tab/>
      </w:r>
      <w:r>
        <w:rPr>
          <w:b w:val="0"/>
          <w:bCs w:val="0"/>
          <w:lang w:eastAsia="zh-CN"/>
        </w:rPr>
        <w:fldChar w:fldCharType="end"/>
      </w:r>
      <w:r>
        <w:rPr>
          <w:rFonts w:hint="eastAsia"/>
          <w:b w:val="0"/>
          <w:bCs w:val="0"/>
          <w:lang w:eastAsia="zh-CN"/>
        </w:rPr>
        <w:t>9</w:t>
      </w:r>
    </w:p>
    <w:p>
      <w:pPr>
        <w:pStyle w:val="8"/>
        <w:tabs>
          <w:tab w:val="right" w:leader="dot" w:pos="9260"/>
        </w:tabs>
        <w:spacing w:before="213"/>
        <w:rPr>
          <w:lang w:eastAsia="zh-CN"/>
        </w:rPr>
      </w:pPr>
      <w:r>
        <w:fldChar w:fldCharType="begin"/>
      </w:r>
      <w:r>
        <w:instrText xml:space="preserve"> HYPERLINK \l "_TOC_250007" </w:instrText>
      </w:r>
      <w:r>
        <w:fldChar w:fldCharType="separate"/>
      </w:r>
      <w:r>
        <w:rPr>
          <w:lang w:eastAsia="zh-CN"/>
        </w:rPr>
        <w:t>（一）毕业生职业资格证书获取率</w:t>
      </w:r>
      <w:r>
        <w:rPr>
          <w:lang w:eastAsia="zh-CN"/>
        </w:rPr>
        <w:tab/>
      </w:r>
      <w:r>
        <w:rPr>
          <w:lang w:eastAsia="zh-CN"/>
        </w:rPr>
        <w:fldChar w:fldCharType="end"/>
      </w:r>
      <w:r>
        <w:rPr>
          <w:rFonts w:hint="eastAsia"/>
          <w:lang w:eastAsia="zh-CN"/>
        </w:rPr>
        <w:t>9</w:t>
      </w:r>
    </w:p>
    <w:p>
      <w:pPr>
        <w:pStyle w:val="8"/>
        <w:tabs>
          <w:tab w:val="right" w:leader="dot" w:pos="9260"/>
        </w:tabs>
        <w:spacing w:before="94"/>
        <w:rPr>
          <w:lang w:eastAsia="zh-CN"/>
        </w:rPr>
      </w:pPr>
      <w:r>
        <w:fldChar w:fldCharType="begin"/>
      </w:r>
      <w:r>
        <w:instrText xml:space="preserve"> HYPERLINK \l "_TOC_250006" </w:instrText>
      </w:r>
      <w:r>
        <w:fldChar w:fldCharType="separate"/>
      </w:r>
      <w:r>
        <w:rPr>
          <w:lang w:eastAsia="zh-CN"/>
        </w:rPr>
        <w:t>（二）直接就业率</w:t>
      </w:r>
      <w:r>
        <w:rPr>
          <w:lang w:eastAsia="zh-CN"/>
        </w:rPr>
        <w:tab/>
      </w:r>
      <w:r>
        <w:rPr>
          <w:rFonts w:hint="eastAsia"/>
          <w:lang w:eastAsia="zh-CN"/>
        </w:rPr>
        <w:t>1</w:t>
      </w:r>
      <w:r>
        <w:rPr>
          <w:rFonts w:hint="eastAsia"/>
          <w:lang w:eastAsia="zh-CN"/>
        </w:rPr>
        <w:fldChar w:fldCharType="end"/>
      </w:r>
      <w:r>
        <w:rPr>
          <w:rFonts w:hint="eastAsia"/>
          <w:lang w:eastAsia="zh-CN"/>
        </w:rPr>
        <w:t>0</w:t>
      </w:r>
    </w:p>
    <w:p>
      <w:pPr>
        <w:pStyle w:val="8"/>
        <w:tabs>
          <w:tab w:val="right" w:leader="dot" w:pos="9260"/>
        </w:tabs>
        <w:spacing w:before="91"/>
        <w:rPr>
          <w:lang w:eastAsia="zh-CN"/>
        </w:rPr>
      </w:pPr>
      <w:r>
        <w:fldChar w:fldCharType="begin"/>
      </w:r>
      <w:r>
        <w:instrText xml:space="preserve"> HYPERLINK \l "_TOC_250005" </w:instrText>
      </w:r>
      <w:r>
        <w:fldChar w:fldCharType="separate"/>
      </w:r>
      <w:r>
        <w:rPr>
          <w:lang w:eastAsia="zh-CN"/>
        </w:rPr>
        <w:t>（三）毕业生就业去向</w:t>
      </w:r>
      <w:r>
        <w:rPr>
          <w:lang w:eastAsia="zh-CN"/>
        </w:rPr>
        <w:tab/>
      </w:r>
      <w:r>
        <w:rPr>
          <w:rFonts w:hint="eastAsia"/>
          <w:lang w:eastAsia="zh-CN"/>
        </w:rPr>
        <w:t>1</w:t>
      </w:r>
      <w:r>
        <w:rPr>
          <w:rFonts w:hint="eastAsia"/>
          <w:lang w:eastAsia="zh-CN"/>
        </w:rPr>
        <w:fldChar w:fldCharType="end"/>
      </w:r>
      <w:r>
        <w:rPr>
          <w:rFonts w:hint="eastAsia"/>
          <w:lang w:eastAsia="zh-CN"/>
        </w:rPr>
        <w:t>0</w:t>
      </w:r>
    </w:p>
    <w:p>
      <w:pPr>
        <w:pStyle w:val="7"/>
        <w:tabs>
          <w:tab w:val="right" w:leader="dot" w:pos="9262"/>
        </w:tabs>
        <w:spacing w:before="213"/>
        <w:rPr>
          <w:lang w:eastAsia="zh-CN"/>
        </w:rPr>
      </w:pPr>
      <w:r>
        <w:fldChar w:fldCharType="begin"/>
      </w:r>
      <w:r>
        <w:instrText xml:space="preserve"> HYPERLINK \l "_TOC_250004" </w:instrText>
      </w:r>
      <w:r>
        <w:fldChar w:fldCharType="separate"/>
      </w:r>
      <w:r>
        <w:rPr>
          <w:lang w:eastAsia="zh-CN"/>
        </w:rPr>
        <w:t>五、社会服务能力</w:t>
      </w:r>
      <w:r>
        <w:rPr>
          <w:b w:val="0"/>
          <w:bCs w:val="0"/>
          <w:lang w:eastAsia="zh-CN"/>
        </w:rPr>
        <w:tab/>
      </w:r>
      <w:r>
        <w:rPr>
          <w:b w:val="0"/>
          <w:bCs w:val="0"/>
          <w:lang w:eastAsia="zh-CN"/>
        </w:rPr>
        <w:t>1</w:t>
      </w:r>
      <w:r>
        <w:rPr>
          <w:b w:val="0"/>
          <w:bCs w:val="0"/>
          <w:lang w:eastAsia="zh-CN"/>
        </w:rPr>
        <w:fldChar w:fldCharType="end"/>
      </w:r>
      <w:r>
        <w:rPr>
          <w:rFonts w:hint="eastAsia"/>
          <w:b w:val="0"/>
          <w:bCs w:val="0"/>
          <w:lang w:eastAsia="zh-CN"/>
        </w:rPr>
        <w:t>0</w:t>
      </w:r>
    </w:p>
    <w:p>
      <w:pPr>
        <w:pStyle w:val="8"/>
        <w:tabs>
          <w:tab w:val="right" w:leader="dot" w:pos="9260"/>
        </w:tabs>
        <w:spacing w:before="213"/>
        <w:rPr>
          <w:lang w:eastAsia="zh-CN"/>
        </w:rPr>
      </w:pPr>
      <w:r>
        <w:fldChar w:fldCharType="begin"/>
      </w:r>
      <w:r>
        <w:instrText xml:space="preserve"> HYPERLINK \l "_TOC_250003" </w:instrText>
      </w:r>
      <w:r>
        <w:fldChar w:fldCharType="separate"/>
      </w:r>
      <w:r>
        <w:rPr>
          <w:lang w:eastAsia="zh-CN"/>
        </w:rPr>
        <w:t>（一）政府购买服务到款额</w:t>
      </w:r>
      <w:r>
        <w:rPr>
          <w:lang w:eastAsia="zh-CN"/>
        </w:rPr>
        <w:tab/>
      </w:r>
      <w:r>
        <w:rPr>
          <w:lang w:eastAsia="zh-CN"/>
        </w:rPr>
        <w:t>1</w:t>
      </w:r>
      <w:r>
        <w:rPr>
          <w:lang w:eastAsia="zh-CN"/>
        </w:rPr>
        <w:fldChar w:fldCharType="end"/>
      </w:r>
      <w:r>
        <w:rPr>
          <w:rFonts w:hint="eastAsia"/>
          <w:lang w:eastAsia="zh-CN"/>
        </w:rPr>
        <w:t>1</w:t>
      </w:r>
    </w:p>
    <w:p>
      <w:pPr>
        <w:pStyle w:val="8"/>
        <w:tabs>
          <w:tab w:val="right" w:leader="dot" w:pos="9260"/>
        </w:tabs>
        <w:spacing w:before="91"/>
        <w:rPr>
          <w:lang w:eastAsia="zh-CN"/>
        </w:rPr>
      </w:pPr>
      <w:r>
        <w:fldChar w:fldCharType="begin"/>
      </w:r>
      <w:r>
        <w:instrText xml:space="preserve"> HYPERLINK \l "_TOC_250002" </w:instrText>
      </w:r>
      <w:r>
        <w:fldChar w:fldCharType="separate"/>
      </w:r>
      <w:r>
        <w:rPr>
          <w:lang w:eastAsia="zh-CN"/>
        </w:rPr>
        <w:t>（二）技术服务到款额</w:t>
      </w:r>
      <w:r>
        <w:rPr>
          <w:lang w:eastAsia="zh-CN"/>
        </w:rPr>
        <w:tab/>
      </w:r>
      <w:r>
        <w:rPr>
          <w:lang w:eastAsia="zh-CN"/>
        </w:rPr>
        <w:t>1</w:t>
      </w:r>
      <w:r>
        <w:rPr>
          <w:lang w:eastAsia="zh-CN"/>
        </w:rPr>
        <w:fldChar w:fldCharType="end"/>
      </w:r>
      <w:r>
        <w:rPr>
          <w:rFonts w:hint="eastAsia"/>
          <w:lang w:eastAsia="zh-CN"/>
        </w:rPr>
        <w:t>1</w:t>
      </w:r>
    </w:p>
    <w:p>
      <w:pPr>
        <w:pStyle w:val="8"/>
        <w:tabs>
          <w:tab w:val="right" w:leader="dot" w:pos="9260"/>
        </w:tabs>
        <w:spacing w:before="213"/>
        <w:ind w:left="0"/>
        <w:rPr>
          <w:b/>
          <w:bCs/>
          <w:lang w:eastAsia="zh-CN"/>
        </w:rPr>
      </w:pPr>
      <w:r>
        <w:fldChar w:fldCharType="begin"/>
      </w:r>
      <w:r>
        <w:instrText xml:space="preserve"> HYPERLINK \l "_TOC_250001" </w:instrText>
      </w:r>
      <w:r>
        <w:fldChar w:fldCharType="separate"/>
      </w:r>
      <w:r>
        <w:rPr>
          <w:b/>
          <w:bCs/>
          <w:lang w:eastAsia="zh-CN"/>
        </w:rPr>
        <w:t>六、存在问题及整改思路</w:t>
      </w:r>
      <w:r>
        <w:rPr>
          <w:b/>
          <w:bCs/>
          <w:lang w:eastAsia="zh-CN"/>
        </w:rPr>
        <w:tab/>
      </w:r>
      <w:r>
        <w:rPr>
          <w:lang w:eastAsia="zh-CN"/>
        </w:rPr>
        <w:t>1</w:t>
      </w:r>
      <w:r>
        <w:rPr>
          <w:rFonts w:hint="eastAsia"/>
          <w:lang w:eastAsia="zh-CN"/>
        </w:rPr>
        <w:t>2</w:t>
      </w:r>
      <w:r>
        <w:rPr>
          <w:rFonts w:hint="eastAsia"/>
          <w:lang w:eastAsia="zh-CN"/>
        </w:rPr>
        <w:fldChar w:fldCharType="end"/>
      </w:r>
    </w:p>
    <w:p>
      <w:pPr>
        <w:spacing w:before="93"/>
        <w:jc w:val="both"/>
        <w:rPr>
          <w:b/>
          <w:sz w:val="32"/>
          <w:lang w:eastAsia="zh-CN"/>
        </w:rPr>
      </w:pPr>
    </w:p>
    <w:p>
      <w:pPr>
        <w:pStyle w:val="3"/>
        <w:spacing w:before="213" w:line="360" w:lineRule="auto"/>
        <w:ind w:right="234" w:firstLine="566"/>
        <w:rPr>
          <w:color w:val="111111"/>
          <w:lang w:eastAsia="zh-CN"/>
        </w:rPr>
        <w:sectPr>
          <w:footerReference r:id="rId4" w:type="default"/>
          <w:pgSz w:w="11906" w:h="16838"/>
          <w:pgMar w:top="1440" w:right="1803" w:bottom="2268" w:left="1803" w:header="851" w:footer="992" w:gutter="0"/>
          <w:pgNumType w:start="1"/>
          <w:cols w:space="425" w:num="1"/>
          <w:docGrid w:type="lines" w:linePitch="312" w:charSpace="0"/>
        </w:sectPr>
      </w:pPr>
    </w:p>
    <w:p>
      <w:pPr>
        <w:pStyle w:val="3"/>
        <w:spacing w:before="213" w:line="360" w:lineRule="auto"/>
        <w:ind w:right="234" w:firstLine="566"/>
        <w:rPr>
          <w:color w:val="111111"/>
          <w:lang w:eastAsia="zh-CN"/>
        </w:rPr>
      </w:pPr>
      <w:r>
        <w:rPr>
          <w:rFonts w:hint="eastAsia"/>
          <w:color w:val="111111"/>
          <w:lang w:eastAsia="zh-CN"/>
        </w:rPr>
        <w:t>根据《国务院教育督导委员会办公室关于印发《国务院教育督导委员会办公室关于印发&lt;高等职业院校适应社会需求能力评估暂行办法&gt;的通知》（国教督办〔2016〕3 号），以及《国务院教育督导委员会办公室关于开展2020 年全国职业院校评估工作的通知》（国教督办函〔2020〕25号）、《四川省人民政府教育督导委员会关于开展 2020 年职业院校评估工作的通知》（川教督委函〔2020〕10号）等文件精神，</w:t>
      </w:r>
      <w:r>
        <w:rPr>
          <w:rFonts w:hint="eastAsia"/>
          <w:color w:val="111111"/>
          <w:spacing w:val="-5"/>
          <w:lang w:eastAsia="zh-CN"/>
        </w:rPr>
        <w:t>乐山职业技术学院</w:t>
      </w:r>
      <w:r>
        <w:rPr>
          <w:rFonts w:hint="eastAsia"/>
          <w:color w:val="111111"/>
          <w:lang w:eastAsia="zh-CN"/>
        </w:rPr>
        <w:t>在完成《高等职业院校基本情况表》、《高等职业院校师生情况表》和《高等职业院校专业情况表》填写，</w:t>
      </w:r>
      <w:r>
        <w:rPr>
          <w:rFonts w:hint="eastAsia"/>
          <w:color w:val="111111"/>
          <w:spacing w:val="-5"/>
          <w:lang w:eastAsia="zh-CN"/>
        </w:rPr>
        <w:t>《校长问卷》、《教师问卷》和《学生问卷》填答的基础上，全面系统认真地分析了自身</w:t>
      </w:r>
      <w:r>
        <w:rPr>
          <w:rFonts w:hint="eastAsia"/>
          <w:color w:val="111111"/>
          <w:lang w:eastAsia="zh-CN"/>
        </w:rPr>
        <w:t>适应社会需求的能力</w:t>
      </w:r>
      <w:r>
        <w:rPr>
          <w:rFonts w:hint="eastAsia"/>
          <w:color w:val="111111"/>
          <w:spacing w:val="-5"/>
          <w:lang w:eastAsia="zh-CN"/>
        </w:rPr>
        <w:t>，查找问</w:t>
      </w:r>
      <w:r>
        <w:rPr>
          <w:rFonts w:hint="eastAsia"/>
          <w:color w:val="111111"/>
          <w:spacing w:val="-8"/>
          <w:lang w:eastAsia="zh-CN"/>
        </w:rPr>
        <w:t>题，探究成因，形成思路和对策，以填报数据为基础，从办学基础能力、“双师”队伍建设、</w:t>
      </w:r>
      <w:r>
        <w:rPr>
          <w:rFonts w:hint="eastAsia"/>
          <w:color w:val="111111"/>
          <w:lang w:eastAsia="zh-CN"/>
        </w:rPr>
        <w:t xml:space="preserve">专业人才培养、学生发展和社会服务能力等五个方面完成了自评，具体报告如下： </w:t>
      </w:r>
    </w:p>
    <w:p>
      <w:pPr>
        <w:pStyle w:val="3"/>
        <w:spacing w:before="213" w:line="360" w:lineRule="auto"/>
        <w:ind w:leftChars="90" w:right="234" w:firstLine="562" w:firstLineChars="200"/>
        <w:rPr>
          <w:b/>
          <w:bCs/>
          <w:color w:val="111111"/>
          <w:sz w:val="28"/>
          <w:szCs w:val="28"/>
          <w:lang w:eastAsia="zh-CN"/>
        </w:rPr>
      </w:pPr>
      <w:bookmarkStart w:id="0" w:name="_TOC_250026"/>
      <w:r>
        <w:rPr>
          <w:rFonts w:hint="eastAsia"/>
          <w:b/>
          <w:bCs/>
          <w:color w:val="111111"/>
          <w:sz w:val="28"/>
          <w:szCs w:val="28"/>
          <w:lang w:eastAsia="zh-CN"/>
        </w:rPr>
        <w:t>一、办学基础能力</w:t>
      </w:r>
      <w:bookmarkEnd w:id="0"/>
      <w:r>
        <w:rPr>
          <w:rFonts w:hint="eastAsia"/>
          <w:b/>
          <w:bCs/>
          <w:color w:val="111111"/>
          <w:sz w:val="28"/>
          <w:szCs w:val="28"/>
          <w:lang w:eastAsia="zh-CN"/>
        </w:rPr>
        <w:t xml:space="preserve"> </w:t>
      </w:r>
    </w:p>
    <w:p>
      <w:pPr>
        <w:pStyle w:val="3"/>
        <w:spacing w:before="213" w:line="360" w:lineRule="auto"/>
        <w:ind w:leftChars="90" w:right="234" w:firstLine="482" w:firstLineChars="200"/>
        <w:rPr>
          <w:b/>
          <w:bCs/>
          <w:color w:val="111111"/>
          <w:lang w:eastAsia="zh-CN"/>
        </w:rPr>
      </w:pPr>
      <w:bookmarkStart w:id="1" w:name="_TOC_250025"/>
      <w:r>
        <w:rPr>
          <w:rFonts w:hint="eastAsia"/>
          <w:b/>
          <w:bCs/>
          <w:color w:val="111111"/>
          <w:lang w:eastAsia="zh-CN"/>
        </w:rPr>
        <w:t>（一）学院概况</w:t>
      </w:r>
      <w:bookmarkEnd w:id="1"/>
      <w:r>
        <w:rPr>
          <w:rFonts w:hint="eastAsia"/>
          <w:b/>
          <w:bCs/>
          <w:color w:val="111111"/>
          <w:lang w:eastAsia="zh-CN"/>
        </w:rPr>
        <w:t xml:space="preserve"> </w:t>
      </w:r>
    </w:p>
    <w:p>
      <w:pPr>
        <w:pStyle w:val="3"/>
        <w:spacing w:before="213" w:line="360" w:lineRule="auto"/>
        <w:ind w:right="232" w:firstLine="480" w:firstLineChars="200"/>
        <w:rPr>
          <w:color w:val="111111"/>
          <w:lang w:eastAsia="zh-CN"/>
        </w:rPr>
      </w:pPr>
      <w:bookmarkStart w:id="2" w:name="_TOC_250023"/>
      <w:r>
        <w:rPr>
          <w:rFonts w:hint="eastAsia"/>
          <w:color w:val="111111"/>
          <w:lang w:eastAsia="zh-CN"/>
        </w:rPr>
        <w:t>乐山职业技术学院是2002年4月经四川省人民政府批准，由原乐山卫生学校、乐山财贸学校和乐山工业学校三所国家级重点中专合并组建，是乐山市人民政府主办的一所地方性、综合性普通高等职业技术学校。在乐山市委、市政府大力关心和支持下，学院集绿色环保、安全节能、科技智慧占地800余亩的新校园全面投入运行使用。学院现有护理系、药学系、医学系、机电工程系、新能源工程系、财经管理系、旅游系、艺术设计系、电子信息工程系、体育系、基础公共课程部、马克思主义学院十系一院一部，设有含医药卫生、财经、旅游、机械、电子、信息、材料与新能源类等专业5</w:t>
      </w:r>
      <w:r>
        <w:rPr>
          <w:rFonts w:hint="eastAsia"/>
          <w:color w:val="111111"/>
          <w:lang w:val="en-US" w:eastAsia="zh-CN"/>
        </w:rPr>
        <w:t>1</w:t>
      </w:r>
      <w:r>
        <w:rPr>
          <w:rFonts w:hint="eastAsia"/>
          <w:color w:val="111111"/>
          <w:lang w:eastAsia="zh-CN"/>
        </w:rPr>
        <w:t>个，全日制在校生人数近1.3万人，专任教师517人。</w:t>
      </w:r>
    </w:p>
    <w:p>
      <w:pPr>
        <w:pStyle w:val="3"/>
        <w:spacing w:before="213" w:line="360" w:lineRule="auto"/>
        <w:ind w:right="232" w:firstLine="480" w:firstLineChars="200"/>
        <w:rPr>
          <w:color w:val="111111"/>
          <w:lang w:eastAsia="zh-CN"/>
        </w:rPr>
      </w:pPr>
      <w:r>
        <w:rPr>
          <w:rFonts w:hint="eastAsia"/>
          <w:color w:val="111111"/>
          <w:lang w:eastAsia="zh-CN"/>
        </w:rPr>
        <w:t>学院坚持“融入岗位、工学结合、能力本位、实境育人”的办学理念，建立了“政、行、企、院（所）、校”多元合作、多方联动的合作平台，成立学院理事会，厚积了丰富的办学资源。学院建成了国家高技能人才培养基地、教育部—中兴通讯ICT行业创新基地、首批全国职业院校健康服务类示范专业点。学院现是“国家高技能人才培训基地”、“教育部第三批国家现代学徒制试点单位”、“四川省示范性高职院校”、“四川省博士后创新实践基地”、“四川省优质高等职业院校培育院校”、“首批省级现代学徒制试点单位”。学院拥有国家职业技能鉴定所1个，中央财政支持实训基地2个、直属二级甲等附属医院1家、非直属附属医院3家，乐山太阳能研究院1家、永泰资产管理公司1家、奥林匹克学校1所，为区域经济社会发展培养输送了数以万计的高素质技术技能人才。</w:t>
      </w:r>
    </w:p>
    <w:p>
      <w:pPr>
        <w:pStyle w:val="3"/>
        <w:spacing w:before="213" w:line="360" w:lineRule="auto"/>
        <w:ind w:leftChars="90" w:right="234" w:firstLine="482" w:firstLineChars="200"/>
        <w:rPr>
          <w:b/>
          <w:bCs/>
          <w:color w:val="111111"/>
          <w:lang w:eastAsia="zh-CN"/>
        </w:rPr>
      </w:pPr>
      <w:r>
        <w:rPr>
          <w:rFonts w:hint="eastAsia"/>
          <w:b/>
          <w:bCs/>
          <w:color w:val="111111"/>
          <w:lang w:eastAsia="zh-CN"/>
        </w:rPr>
        <w:t xml:space="preserve">（二）年生均财政拨款水平 </w:t>
      </w:r>
    </w:p>
    <w:p>
      <w:pPr>
        <w:pStyle w:val="3"/>
        <w:spacing w:before="213" w:line="360" w:lineRule="auto"/>
        <w:ind w:right="234" w:firstLine="566"/>
        <w:rPr>
          <w:color w:val="111111"/>
          <w:lang w:eastAsia="zh-CN"/>
        </w:rPr>
      </w:pPr>
      <w:r>
        <w:rPr>
          <w:rFonts w:hint="eastAsia"/>
          <w:color w:val="111111"/>
          <w:lang w:eastAsia="zh-CN"/>
        </w:rPr>
        <w:t>学院积极筹措办学经费，优化资源配置，提高投入产出效益。2017-2019 年生均年财政拨款水平分别为</w:t>
      </w:r>
      <w:r>
        <w:rPr>
          <w:rFonts w:hint="eastAsia"/>
          <w:color w:val="00B050"/>
          <w:lang w:eastAsia="zh-CN"/>
        </w:rPr>
        <w:t xml:space="preserve"> </w:t>
      </w:r>
      <w:r>
        <w:rPr>
          <w:rFonts w:hint="eastAsia"/>
          <w:color w:val="000000"/>
          <w:sz w:val="22"/>
          <w:szCs w:val="22"/>
          <w:lang w:eastAsia="zh-CN" w:bidi="ar"/>
        </w:rPr>
        <w:t>21398.11</w:t>
      </w:r>
      <w:r>
        <w:rPr>
          <w:rFonts w:hint="eastAsia"/>
          <w:color w:val="000000" w:themeColor="text1"/>
          <w:lang w:eastAsia="zh-CN"/>
          <w14:textFill>
            <w14:solidFill>
              <w14:schemeClr w14:val="tx1"/>
            </w14:solidFill>
          </w14:textFill>
        </w:rPr>
        <w:t xml:space="preserve"> 万元、</w:t>
      </w:r>
      <w:r>
        <w:rPr>
          <w:rFonts w:hint="eastAsia"/>
          <w:color w:val="000000"/>
          <w:sz w:val="22"/>
          <w:szCs w:val="22"/>
          <w:lang w:eastAsia="zh-CN" w:bidi="ar"/>
        </w:rPr>
        <w:t xml:space="preserve">30722.61万元 </w:t>
      </w:r>
      <w:r>
        <w:rPr>
          <w:rFonts w:hint="eastAsia"/>
          <w:color w:val="000000" w:themeColor="text1"/>
          <w:lang w:eastAsia="zh-CN"/>
          <w14:textFill>
            <w14:solidFill>
              <w14:schemeClr w14:val="tx1"/>
            </w14:solidFill>
          </w14:textFill>
        </w:rPr>
        <w:t>、</w:t>
      </w:r>
      <w:r>
        <w:rPr>
          <w:rFonts w:hint="eastAsia"/>
          <w:color w:val="000000"/>
          <w:sz w:val="22"/>
          <w:szCs w:val="22"/>
          <w:lang w:eastAsia="zh-CN" w:bidi="ar"/>
        </w:rPr>
        <w:t>20474.89</w:t>
      </w:r>
      <w:r>
        <w:rPr>
          <w:rFonts w:hint="eastAsia"/>
          <w:color w:val="000000" w:themeColor="text1"/>
          <w:lang w:eastAsia="zh-CN"/>
          <w14:textFill>
            <w14:solidFill>
              <w14:schemeClr w14:val="tx1"/>
            </w14:solidFill>
          </w14:textFill>
        </w:rPr>
        <w:t xml:space="preserve"> 万元，</w:t>
      </w:r>
      <w:r>
        <w:rPr>
          <w:rFonts w:hint="eastAsia"/>
          <w:color w:val="111111"/>
          <w:lang w:eastAsia="zh-CN"/>
        </w:rPr>
        <w:t xml:space="preserve">学院生均财政拨款水平呈总体上升趋势，政府对高等职业教育的投入力度在不断加强。 </w:t>
      </w:r>
    </w:p>
    <w:p>
      <w:pPr>
        <w:widowControl/>
      </w:pPr>
      <w:r>
        <w:rPr>
          <w:sz w:val="24"/>
          <w:szCs w:val="24"/>
          <w:lang w:eastAsia="zh-CN" w:bidi="ar-SA"/>
        </w:rPr>
        <w:drawing>
          <wp:inline distT="0" distB="0" distL="114300" distR="114300">
            <wp:extent cx="5128260" cy="2877820"/>
            <wp:effectExtent l="0" t="0" r="15240"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128260" cy="2877820"/>
                    </a:xfrm>
                    <a:prstGeom prst="rect">
                      <a:avLst/>
                    </a:prstGeom>
                    <a:noFill/>
                    <a:ln w="9525">
                      <a:noFill/>
                    </a:ln>
                  </pic:spPr>
                </pic:pic>
              </a:graphicData>
            </a:graphic>
          </wp:inline>
        </w:drawing>
      </w:r>
    </w:p>
    <w:p>
      <w:pPr>
        <w:pStyle w:val="3"/>
        <w:spacing w:before="109" w:line="360" w:lineRule="auto"/>
        <w:ind w:firstLine="2168" w:firstLineChars="900"/>
        <w:rPr>
          <w:b/>
          <w:bCs/>
          <w:lang w:eastAsia="zh-CN"/>
        </w:rPr>
      </w:pPr>
      <w:r>
        <w:rPr>
          <w:rFonts w:hint="eastAsia"/>
          <w:b/>
          <w:bCs/>
          <w:lang w:eastAsia="zh-CN"/>
        </w:rPr>
        <w:t xml:space="preserve">图 1 2017-2019年生均拨款水平 </w:t>
      </w:r>
    </w:p>
    <w:p>
      <w:pPr>
        <w:pStyle w:val="2"/>
        <w:spacing w:before="158" w:line="360" w:lineRule="auto"/>
        <w:ind w:left="0" w:firstLine="482" w:firstLineChars="200"/>
        <w:rPr>
          <w:lang w:eastAsia="zh-CN"/>
        </w:rPr>
      </w:pPr>
      <w:r>
        <w:rPr>
          <w:rFonts w:hint="eastAsia"/>
          <w:lang w:eastAsia="zh-CN"/>
        </w:rPr>
        <w:t>（三）教学、科研仪器设备</w:t>
      </w:r>
      <w:bookmarkEnd w:id="2"/>
      <w:r>
        <w:rPr>
          <w:rFonts w:hint="eastAsia"/>
          <w:lang w:eastAsia="zh-CN"/>
        </w:rPr>
        <w:t>值</w:t>
      </w:r>
      <w:r>
        <w:rPr>
          <w:rFonts w:hint="eastAsia"/>
          <w:w w:val="99"/>
          <w:lang w:eastAsia="zh-CN"/>
        </w:rPr>
        <w:t xml:space="preserve"> </w:t>
      </w:r>
    </w:p>
    <w:p>
      <w:pPr>
        <w:spacing w:line="360" w:lineRule="auto"/>
        <w:ind w:firstLine="424" w:firstLineChars="177"/>
        <w:rPr>
          <w:color w:val="000000" w:themeColor="text1"/>
          <w:sz w:val="24"/>
          <w:szCs w:val="24"/>
          <w:lang w:eastAsia="zh-CN"/>
          <w14:textFill>
            <w14:solidFill>
              <w14:schemeClr w14:val="tx1"/>
            </w14:solidFill>
          </w14:textFill>
        </w:rPr>
      </w:pPr>
      <w:bookmarkStart w:id="3" w:name="_TOC_250022"/>
      <w:r>
        <w:rPr>
          <w:rFonts w:hint="eastAsia"/>
          <w:color w:val="000000" w:themeColor="text1"/>
          <w:sz w:val="24"/>
          <w:szCs w:val="24"/>
          <w:lang w:eastAsia="zh-CN"/>
          <w14:textFill>
            <w14:solidFill>
              <w14:schemeClr w14:val="tx1"/>
            </w14:solidFill>
          </w14:textFill>
        </w:rPr>
        <w:t>学院不断深化校企合作机制建设，吸引企业共建实训室，持续增强服务社会能力，促进地方政府投入。教学、科研仪器设备总值11841.56万元，生均仪器设备总值9488元。</w:t>
      </w:r>
    </w:p>
    <w:p>
      <w:pPr>
        <w:pStyle w:val="2"/>
        <w:spacing w:before="158" w:line="360" w:lineRule="auto"/>
        <w:ind w:left="0" w:firstLine="482" w:firstLineChars="200"/>
        <w:rPr>
          <w:color w:val="111111"/>
          <w:lang w:eastAsia="zh-CN"/>
        </w:rPr>
      </w:pPr>
      <w:r>
        <w:rPr>
          <w:rFonts w:hint="eastAsia"/>
          <w:color w:val="111111"/>
          <w:lang w:eastAsia="zh-CN"/>
        </w:rPr>
        <w:t>（四）教学及辅助、行政办公用房面积</w:t>
      </w:r>
      <w:bookmarkEnd w:id="3"/>
      <w:r>
        <w:rPr>
          <w:rFonts w:hint="eastAsia"/>
          <w:color w:val="111111"/>
          <w:lang w:eastAsia="zh-CN"/>
        </w:rPr>
        <w:t xml:space="preserve"> </w:t>
      </w:r>
    </w:p>
    <w:p>
      <w:pPr>
        <w:spacing w:line="360" w:lineRule="auto"/>
        <w:ind w:firstLine="424" w:firstLineChars="177"/>
        <w:rPr>
          <w:color w:val="000000" w:themeColor="text1"/>
          <w:sz w:val="24"/>
          <w:szCs w:val="24"/>
          <w:lang w:eastAsia="zh-CN"/>
          <w14:textFill>
            <w14:solidFill>
              <w14:schemeClr w14:val="tx1"/>
            </w14:solidFill>
          </w14:textFill>
        </w:rPr>
      </w:pPr>
      <w:bookmarkStart w:id="4" w:name="_TOC_250021"/>
      <w:r>
        <w:rPr>
          <w:rFonts w:hint="eastAsia"/>
          <w:color w:val="000000" w:themeColor="text1"/>
          <w:sz w:val="24"/>
          <w:szCs w:val="24"/>
          <w:lang w:eastAsia="zh-CN"/>
          <w14:textFill>
            <w14:solidFill>
              <w14:schemeClr w14:val="tx1"/>
            </w14:solidFill>
          </w14:textFill>
        </w:rPr>
        <w:t>学校占地629772.04平方米，生均50.46平方米。教学科研及辅助用房面积186913.20平方米，生均14.98平方米，其中教室 52647.54平方米、图书馆22400.00平方米、实验室实习场所86248.06平方米、体育馆 15442.00平方米、会堂 10175.60平方米。行政办公用房45179.30平方米，生均3.62平方米。学院教学行政用房合计232092.50平方米，生均18.60平方米，完全能满足当前办学规模下的教学与办公需要。</w:t>
      </w:r>
    </w:p>
    <w:p>
      <w:pPr>
        <w:spacing w:line="360" w:lineRule="auto"/>
        <w:ind w:firstLine="482" w:firstLineChars="200"/>
        <w:rPr>
          <w:b/>
          <w:bCs/>
          <w:color w:val="111111"/>
          <w:sz w:val="24"/>
          <w:szCs w:val="24"/>
          <w:lang w:eastAsia="zh-CN"/>
        </w:rPr>
      </w:pPr>
      <w:r>
        <w:rPr>
          <w:rFonts w:hint="eastAsia"/>
          <w:b/>
          <w:bCs/>
          <w:color w:val="111111"/>
          <w:sz w:val="24"/>
          <w:szCs w:val="24"/>
          <w:lang w:eastAsia="zh-CN"/>
        </w:rPr>
        <w:t>（五）信息化教学条件</w:t>
      </w:r>
      <w:bookmarkEnd w:id="4"/>
      <w:r>
        <w:rPr>
          <w:rFonts w:hint="eastAsia"/>
          <w:b/>
          <w:bCs/>
          <w:color w:val="111111"/>
          <w:sz w:val="24"/>
          <w:szCs w:val="24"/>
          <w:lang w:eastAsia="zh-CN"/>
        </w:rPr>
        <w:t xml:space="preserve"> </w:t>
      </w:r>
    </w:p>
    <w:p>
      <w:pPr>
        <w:pStyle w:val="2"/>
        <w:spacing w:before="158" w:line="360" w:lineRule="auto"/>
        <w:ind w:left="0" w:firstLine="480" w:firstLineChars="200"/>
        <w:rPr>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 xml:space="preserve">学校信息化建设进入稳步发展阶段，已建成万兆核心、千兆主干、百兆到桌面的校园基础网络，校园网对全院建筑的覆盖率达100%，行政办公区、教学区、生活区均部署无线，全院151间教室均配有智能交互电子白板。目前，接入互联网出口宽带1024Mbps，教学用终端（计算机）1912台，网络信息点数4000个，数字资源总量26307GB 。构建了校园信息化管理平台，教育管理信息化系统、OA办系统、智能安防监控系统、一卡通校园系统、门禁系统等20余个系统平台，覆盖了教务、科研、网络教学、招生就业、行政办公、学生工作、财务、资产等几乎全院所有业务。 </w:t>
      </w:r>
    </w:p>
    <w:p>
      <w:pPr>
        <w:pStyle w:val="3"/>
        <w:spacing w:line="360" w:lineRule="auto"/>
        <w:ind w:firstLine="1928" w:firstLineChars="800"/>
        <w:rPr>
          <w:b/>
          <w:bCs/>
          <w:lang w:eastAsia="zh-CN"/>
        </w:rPr>
      </w:pPr>
      <w:r>
        <w:rPr>
          <w:rFonts w:hint="eastAsia"/>
          <w:b/>
          <w:bCs/>
          <w:lang w:eastAsia="zh-CN"/>
        </w:rPr>
        <w:t>表 1 信息化基础设施建设情况表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5030"/>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85" w:line="360" w:lineRule="auto"/>
              <w:ind w:right="2"/>
              <w:rPr>
                <w:b/>
                <w:bCs/>
                <w:sz w:val="21"/>
                <w:szCs w:val="21"/>
              </w:rPr>
            </w:pPr>
            <w:r>
              <w:rPr>
                <w:rFonts w:hint="eastAsia"/>
                <w:b/>
                <w:sz w:val="21"/>
                <w:szCs w:val="21"/>
              </w:rPr>
              <w:t>序号</w:t>
            </w:r>
          </w:p>
        </w:tc>
        <w:tc>
          <w:tcPr>
            <w:tcW w:w="2952" w:type="pct"/>
            <w:vAlign w:val="center"/>
          </w:tcPr>
          <w:p>
            <w:pPr>
              <w:pStyle w:val="12"/>
              <w:spacing w:before="85" w:line="360" w:lineRule="auto"/>
              <w:ind w:right="630"/>
              <w:rPr>
                <w:b/>
                <w:bCs/>
                <w:sz w:val="21"/>
                <w:szCs w:val="21"/>
              </w:rPr>
            </w:pPr>
            <w:r>
              <w:rPr>
                <w:rFonts w:hint="eastAsia"/>
                <w:b/>
                <w:sz w:val="21"/>
                <w:szCs w:val="21"/>
              </w:rPr>
              <w:t>项目类别</w:t>
            </w:r>
          </w:p>
        </w:tc>
        <w:tc>
          <w:tcPr>
            <w:tcW w:w="1287" w:type="pct"/>
            <w:vAlign w:val="center"/>
          </w:tcPr>
          <w:p>
            <w:pPr>
              <w:pStyle w:val="12"/>
              <w:spacing w:before="85" w:line="360" w:lineRule="auto"/>
              <w:ind w:right="360"/>
              <w:rPr>
                <w:b/>
                <w:bCs/>
                <w:sz w:val="21"/>
                <w:szCs w:val="21"/>
              </w:rPr>
            </w:pPr>
            <w:r>
              <w:rPr>
                <w:rFonts w:hint="eastAsia"/>
                <w:b/>
                <w:sz w:val="21"/>
                <w:szCs w:val="21"/>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sz w:val="21"/>
                <w:szCs w:val="21"/>
                <w:lang w:eastAsia="zh-CN"/>
              </w:rPr>
            </w:pPr>
            <w:r>
              <w:rPr>
                <w:rFonts w:hint="eastAsia"/>
                <w:sz w:val="21"/>
                <w:szCs w:val="21"/>
                <w:lang w:eastAsia="zh-CN"/>
              </w:rPr>
              <w:t>1</w:t>
            </w:r>
          </w:p>
        </w:tc>
        <w:tc>
          <w:tcPr>
            <w:tcW w:w="2952" w:type="pct"/>
            <w:vAlign w:val="center"/>
          </w:tcPr>
          <w:p>
            <w:pPr>
              <w:pStyle w:val="12"/>
              <w:spacing w:before="90" w:line="360" w:lineRule="auto"/>
              <w:ind w:right="630"/>
              <w:rPr>
                <w:sz w:val="21"/>
                <w:szCs w:val="21"/>
                <w:lang w:eastAsia="zh-CN"/>
              </w:rPr>
            </w:pPr>
            <w:r>
              <w:rPr>
                <w:rFonts w:hint="eastAsia"/>
                <w:sz w:val="21"/>
                <w:szCs w:val="21"/>
                <w:lang w:eastAsia="zh-CN"/>
              </w:rPr>
              <w:t>教学用计算机</w:t>
            </w:r>
          </w:p>
        </w:tc>
        <w:tc>
          <w:tcPr>
            <w:tcW w:w="1287" w:type="pct"/>
            <w:vAlign w:val="center"/>
          </w:tcPr>
          <w:p>
            <w:pPr>
              <w:pStyle w:val="12"/>
              <w:spacing w:before="90" w:line="360" w:lineRule="auto"/>
              <w:ind w:right="630"/>
              <w:rPr>
                <w:sz w:val="21"/>
                <w:szCs w:val="21"/>
                <w:lang w:eastAsia="zh-CN"/>
              </w:rPr>
            </w:pPr>
            <w:r>
              <w:rPr>
                <w:rFonts w:hint="eastAsia"/>
                <w:sz w:val="21"/>
                <w:szCs w:val="21"/>
                <w:lang w:eastAsia="zh-CN"/>
              </w:rPr>
              <w:t xml:space="preserve">  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b/>
                <w:bCs/>
                <w:sz w:val="21"/>
                <w:szCs w:val="21"/>
              </w:rPr>
            </w:pPr>
            <w:r>
              <w:rPr>
                <w:rFonts w:hint="eastAsia"/>
                <w:sz w:val="21"/>
                <w:szCs w:val="21"/>
              </w:rPr>
              <w:t>2</w:t>
            </w:r>
          </w:p>
        </w:tc>
        <w:tc>
          <w:tcPr>
            <w:tcW w:w="2952" w:type="pct"/>
            <w:vAlign w:val="center"/>
          </w:tcPr>
          <w:p>
            <w:pPr>
              <w:pStyle w:val="12"/>
              <w:spacing w:before="90" w:line="360" w:lineRule="auto"/>
              <w:ind w:right="630"/>
              <w:rPr>
                <w:b/>
                <w:bCs/>
                <w:sz w:val="21"/>
                <w:szCs w:val="21"/>
                <w:lang w:eastAsia="zh-CN"/>
              </w:rPr>
            </w:pPr>
            <w:r>
              <w:rPr>
                <w:rFonts w:hint="eastAsia"/>
                <w:sz w:val="21"/>
                <w:szCs w:val="21"/>
                <w:lang w:eastAsia="zh-CN"/>
              </w:rPr>
              <w:t>网络多媒体教室（个）</w:t>
            </w:r>
          </w:p>
        </w:tc>
        <w:tc>
          <w:tcPr>
            <w:tcW w:w="1287" w:type="pct"/>
            <w:vAlign w:val="center"/>
          </w:tcPr>
          <w:p>
            <w:pPr>
              <w:pStyle w:val="12"/>
              <w:spacing w:before="90" w:line="360" w:lineRule="auto"/>
              <w:ind w:right="359"/>
              <w:rPr>
                <w:b/>
                <w:bCs/>
                <w:sz w:val="21"/>
                <w:szCs w:val="21"/>
              </w:rPr>
            </w:pPr>
            <w:r>
              <w:rPr>
                <w:rFonts w:hint="eastAsia"/>
                <w:sz w:val="21"/>
                <w:szCs w:val="21"/>
                <w:lang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1" w:line="360" w:lineRule="auto"/>
              <w:ind w:right="2"/>
              <w:rPr>
                <w:b/>
                <w:bCs/>
                <w:sz w:val="21"/>
                <w:szCs w:val="21"/>
              </w:rPr>
            </w:pPr>
            <w:r>
              <w:rPr>
                <w:rFonts w:hint="eastAsia"/>
                <w:sz w:val="21"/>
                <w:szCs w:val="21"/>
                <w:lang w:eastAsia="zh-CN"/>
              </w:rPr>
              <w:t>3</w:t>
            </w:r>
          </w:p>
        </w:tc>
        <w:tc>
          <w:tcPr>
            <w:tcW w:w="2952" w:type="pct"/>
            <w:vAlign w:val="center"/>
          </w:tcPr>
          <w:p>
            <w:pPr>
              <w:pStyle w:val="12"/>
              <w:spacing w:before="91" w:line="360" w:lineRule="auto"/>
              <w:ind w:right="630"/>
              <w:rPr>
                <w:b/>
                <w:bCs/>
                <w:sz w:val="21"/>
                <w:szCs w:val="21"/>
                <w:lang w:eastAsia="zh-CN"/>
              </w:rPr>
            </w:pPr>
            <w:r>
              <w:rPr>
                <w:rFonts w:hint="eastAsia"/>
                <w:sz w:val="21"/>
                <w:szCs w:val="21"/>
                <w:lang w:eastAsia="zh-CN"/>
              </w:rPr>
              <w:t>接入互联网出口带宽（Mbps）</w:t>
            </w:r>
          </w:p>
        </w:tc>
        <w:tc>
          <w:tcPr>
            <w:tcW w:w="1287" w:type="pct"/>
            <w:vAlign w:val="center"/>
          </w:tcPr>
          <w:p>
            <w:pPr>
              <w:pStyle w:val="12"/>
              <w:spacing w:before="91" w:line="360" w:lineRule="auto"/>
              <w:ind w:right="360"/>
              <w:rPr>
                <w:b/>
                <w:bCs/>
                <w:sz w:val="21"/>
                <w:szCs w:val="21"/>
              </w:rPr>
            </w:pPr>
            <w:r>
              <w:rPr>
                <w:rFonts w:hint="eastAsia"/>
                <w:color w:val="000000" w:themeColor="text1"/>
                <w:sz w:val="21"/>
                <w:szCs w:val="21"/>
                <w:lang w:eastAsia="zh-CN"/>
                <w14:textFill>
                  <w14:solidFill>
                    <w14:schemeClr w14:val="tx1"/>
                  </w14:solidFill>
                </w14:textFill>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b/>
                <w:bCs/>
                <w:sz w:val="21"/>
                <w:szCs w:val="21"/>
              </w:rPr>
            </w:pPr>
            <w:r>
              <w:rPr>
                <w:rFonts w:hint="eastAsia"/>
                <w:sz w:val="21"/>
                <w:szCs w:val="21"/>
                <w:lang w:eastAsia="zh-CN"/>
              </w:rPr>
              <w:t>4</w:t>
            </w:r>
          </w:p>
        </w:tc>
        <w:tc>
          <w:tcPr>
            <w:tcW w:w="2952" w:type="pct"/>
            <w:vAlign w:val="center"/>
          </w:tcPr>
          <w:p>
            <w:pPr>
              <w:pStyle w:val="12"/>
              <w:spacing w:before="90" w:line="360" w:lineRule="auto"/>
              <w:ind w:right="630"/>
              <w:rPr>
                <w:b/>
                <w:bCs/>
                <w:sz w:val="21"/>
                <w:szCs w:val="21"/>
                <w:lang w:eastAsia="zh-CN"/>
              </w:rPr>
            </w:pPr>
            <w:r>
              <w:rPr>
                <w:rFonts w:hint="eastAsia"/>
                <w:sz w:val="21"/>
                <w:szCs w:val="21"/>
                <w:lang w:eastAsia="zh-CN"/>
              </w:rPr>
              <w:t>校园网主干网最大带宽（Mbps）</w:t>
            </w:r>
          </w:p>
        </w:tc>
        <w:tc>
          <w:tcPr>
            <w:tcW w:w="1287" w:type="pct"/>
            <w:vAlign w:val="center"/>
          </w:tcPr>
          <w:p>
            <w:pPr>
              <w:pStyle w:val="12"/>
              <w:spacing w:before="90" w:line="360" w:lineRule="auto"/>
              <w:ind w:right="360"/>
              <w:rPr>
                <w:b/>
                <w:bCs/>
                <w:sz w:val="21"/>
                <w:szCs w:val="21"/>
              </w:rPr>
            </w:pPr>
            <w:r>
              <w:rPr>
                <w:rFonts w:hint="eastAsia"/>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b/>
                <w:bCs/>
                <w:sz w:val="21"/>
                <w:szCs w:val="21"/>
              </w:rPr>
            </w:pPr>
            <w:r>
              <w:rPr>
                <w:rFonts w:hint="eastAsia"/>
                <w:sz w:val="21"/>
                <w:szCs w:val="21"/>
                <w:lang w:eastAsia="zh-CN"/>
              </w:rPr>
              <w:t>5</w:t>
            </w:r>
          </w:p>
        </w:tc>
        <w:tc>
          <w:tcPr>
            <w:tcW w:w="2952" w:type="pct"/>
            <w:vAlign w:val="center"/>
          </w:tcPr>
          <w:p>
            <w:pPr>
              <w:pStyle w:val="12"/>
              <w:spacing w:before="90" w:line="360" w:lineRule="auto"/>
              <w:ind w:right="630"/>
              <w:rPr>
                <w:b/>
                <w:bCs/>
                <w:sz w:val="21"/>
                <w:szCs w:val="21"/>
              </w:rPr>
            </w:pPr>
            <w:r>
              <w:rPr>
                <w:rFonts w:hint="eastAsia"/>
                <w:sz w:val="21"/>
                <w:szCs w:val="21"/>
              </w:rPr>
              <w:t>无线覆盖情况（%）</w:t>
            </w:r>
          </w:p>
        </w:tc>
        <w:tc>
          <w:tcPr>
            <w:tcW w:w="1287" w:type="pct"/>
            <w:vAlign w:val="center"/>
          </w:tcPr>
          <w:p>
            <w:pPr>
              <w:pStyle w:val="12"/>
              <w:spacing w:before="90" w:line="360" w:lineRule="auto"/>
              <w:ind w:right="359"/>
              <w:rPr>
                <w:b/>
                <w:bCs/>
                <w:sz w:val="21"/>
                <w:szCs w:val="21"/>
              </w:rPr>
            </w:pPr>
            <w:r>
              <w:rPr>
                <w:rFonts w:hint="eastAsia"/>
                <w:sz w:val="21"/>
                <w:szCs w:val="21"/>
              </w:rPr>
              <w:t>100</w:t>
            </w:r>
          </w:p>
        </w:tc>
      </w:tr>
    </w:tbl>
    <w:p>
      <w:pPr>
        <w:pStyle w:val="3"/>
        <w:spacing w:before="158" w:line="360" w:lineRule="auto"/>
        <w:ind w:right="227"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我院现有130门课程在网络教学平台中建有网络教学资源，部分专业应用虚拟实训软件教学。为满足学生的学习需求，学院购买了大量的电子图书，目前学院电子图书已达185000册。</w:t>
      </w:r>
    </w:p>
    <w:p>
      <w:pPr>
        <w:pStyle w:val="3"/>
        <w:spacing w:before="161" w:line="360" w:lineRule="auto"/>
        <w:ind w:firstLine="2409" w:firstLineChars="1000"/>
        <w:rPr>
          <w:b/>
          <w:bCs/>
          <w:lang w:eastAsia="zh-CN"/>
        </w:rPr>
      </w:pPr>
      <w:r>
        <w:rPr>
          <w:rFonts w:hint="eastAsia"/>
          <w:b/>
          <w:bCs/>
          <w:lang w:eastAsia="zh-CN"/>
        </w:rPr>
        <w:t>表 2 信息化教学资源建设情况表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5031"/>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85" w:line="360" w:lineRule="auto"/>
              <w:ind w:right="2"/>
              <w:rPr>
                <w:b/>
                <w:bCs/>
                <w:sz w:val="21"/>
                <w:szCs w:val="21"/>
              </w:rPr>
            </w:pPr>
            <w:r>
              <w:rPr>
                <w:rFonts w:hint="eastAsia"/>
                <w:b/>
                <w:sz w:val="21"/>
                <w:szCs w:val="21"/>
              </w:rPr>
              <w:t>序号</w:t>
            </w:r>
          </w:p>
        </w:tc>
        <w:tc>
          <w:tcPr>
            <w:tcW w:w="2953" w:type="pct"/>
            <w:vAlign w:val="center"/>
          </w:tcPr>
          <w:p>
            <w:pPr>
              <w:pStyle w:val="12"/>
              <w:spacing w:before="85" w:line="360" w:lineRule="auto"/>
              <w:ind w:right="630"/>
              <w:rPr>
                <w:b/>
                <w:bCs/>
                <w:sz w:val="21"/>
                <w:szCs w:val="21"/>
              </w:rPr>
            </w:pPr>
            <w:r>
              <w:rPr>
                <w:rFonts w:hint="eastAsia"/>
                <w:b/>
                <w:sz w:val="21"/>
                <w:szCs w:val="21"/>
              </w:rPr>
              <w:t>项目类别</w:t>
            </w:r>
          </w:p>
        </w:tc>
        <w:tc>
          <w:tcPr>
            <w:tcW w:w="1287" w:type="pct"/>
            <w:vAlign w:val="center"/>
          </w:tcPr>
          <w:p>
            <w:pPr>
              <w:pStyle w:val="12"/>
              <w:spacing w:before="85" w:line="360" w:lineRule="auto"/>
              <w:ind w:right="360"/>
              <w:rPr>
                <w:b/>
                <w:bCs/>
                <w:sz w:val="21"/>
                <w:szCs w:val="21"/>
              </w:rPr>
            </w:pPr>
            <w:r>
              <w:rPr>
                <w:rFonts w:hint="eastAsia"/>
                <w:b/>
                <w:sz w:val="21"/>
                <w:szCs w:val="21"/>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sz w:val="21"/>
                <w:szCs w:val="21"/>
                <w:lang w:eastAsia="zh-CN"/>
              </w:rPr>
            </w:pPr>
            <w:r>
              <w:rPr>
                <w:rFonts w:hint="eastAsia"/>
                <w:sz w:val="21"/>
                <w:szCs w:val="21"/>
                <w:lang w:eastAsia="zh-CN"/>
              </w:rPr>
              <w:t>1</w:t>
            </w:r>
          </w:p>
        </w:tc>
        <w:tc>
          <w:tcPr>
            <w:tcW w:w="2953" w:type="pct"/>
          </w:tcPr>
          <w:p>
            <w:pPr>
              <w:pStyle w:val="12"/>
              <w:spacing w:before="90" w:line="360" w:lineRule="auto"/>
              <w:ind w:left="1496" w:right="1350"/>
              <w:jc w:val="left"/>
              <w:rPr>
                <w:sz w:val="21"/>
                <w:szCs w:val="21"/>
                <w:lang w:eastAsia="zh-CN"/>
              </w:rPr>
            </w:pPr>
            <w:r>
              <w:rPr>
                <w:rFonts w:hint="eastAsia"/>
                <w:sz w:val="21"/>
                <w:szCs w:val="21"/>
              </w:rPr>
              <w:t>电子图书（</w:t>
            </w:r>
            <w:r>
              <w:rPr>
                <w:rFonts w:hint="eastAsia"/>
                <w:sz w:val="21"/>
                <w:szCs w:val="21"/>
                <w:lang w:eastAsia="zh-CN"/>
              </w:rPr>
              <w:t>册</w:t>
            </w:r>
            <w:r>
              <w:rPr>
                <w:rFonts w:hint="eastAsia"/>
                <w:sz w:val="21"/>
                <w:szCs w:val="21"/>
              </w:rPr>
              <w:t xml:space="preserve">） </w:t>
            </w:r>
          </w:p>
        </w:tc>
        <w:tc>
          <w:tcPr>
            <w:tcW w:w="1287" w:type="pct"/>
          </w:tcPr>
          <w:p>
            <w:pPr>
              <w:pStyle w:val="12"/>
              <w:spacing w:before="90" w:line="360" w:lineRule="auto"/>
              <w:ind w:right="359"/>
              <w:rPr>
                <w:sz w:val="21"/>
                <w:szCs w:val="21"/>
                <w:lang w:eastAsia="zh-CN"/>
              </w:rPr>
            </w:pPr>
            <w:r>
              <w:rPr>
                <w:rFonts w:hint="eastAsia"/>
                <w:sz w:val="21"/>
                <w:szCs w:val="21"/>
                <w:lang w:eastAsia="zh-CN"/>
              </w:rPr>
              <w:t>185000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pPr>
              <w:pStyle w:val="12"/>
              <w:spacing w:before="90" w:line="360" w:lineRule="auto"/>
              <w:ind w:right="2"/>
              <w:rPr>
                <w:b/>
                <w:bCs/>
                <w:sz w:val="21"/>
                <w:szCs w:val="21"/>
              </w:rPr>
            </w:pPr>
            <w:r>
              <w:rPr>
                <w:rFonts w:hint="eastAsia"/>
                <w:sz w:val="21"/>
                <w:szCs w:val="21"/>
              </w:rPr>
              <w:t>2</w:t>
            </w:r>
          </w:p>
        </w:tc>
        <w:tc>
          <w:tcPr>
            <w:tcW w:w="2953" w:type="pct"/>
          </w:tcPr>
          <w:p>
            <w:pPr>
              <w:pStyle w:val="12"/>
              <w:spacing w:before="88" w:line="360" w:lineRule="auto"/>
              <w:ind w:left="1496" w:right="1350"/>
              <w:jc w:val="left"/>
              <w:rPr>
                <w:b/>
                <w:bCs/>
                <w:sz w:val="21"/>
                <w:szCs w:val="21"/>
              </w:rPr>
            </w:pPr>
            <w:r>
              <w:rPr>
                <w:rFonts w:hint="eastAsia"/>
                <w:sz w:val="21"/>
                <w:szCs w:val="21"/>
              </w:rPr>
              <w:t xml:space="preserve">上网课程数（门） </w:t>
            </w:r>
          </w:p>
        </w:tc>
        <w:tc>
          <w:tcPr>
            <w:tcW w:w="1287" w:type="pct"/>
          </w:tcPr>
          <w:p>
            <w:pPr>
              <w:pStyle w:val="12"/>
              <w:spacing w:before="90" w:line="360" w:lineRule="auto"/>
              <w:ind w:right="359"/>
              <w:rPr>
                <w:sz w:val="21"/>
                <w:szCs w:val="21"/>
              </w:rPr>
            </w:pPr>
            <w:r>
              <w:rPr>
                <w:rFonts w:hint="eastAsia"/>
                <w:sz w:val="21"/>
                <w:szCs w:val="21"/>
                <w:lang w:eastAsia="zh-CN"/>
              </w:rPr>
              <w:t>130</w:t>
            </w:r>
          </w:p>
        </w:tc>
      </w:tr>
    </w:tbl>
    <w:p>
      <w:pPr>
        <w:pStyle w:val="2"/>
        <w:spacing w:before="123" w:line="360" w:lineRule="auto"/>
        <w:ind w:left="0" w:firstLine="482" w:firstLineChars="200"/>
        <w:rPr>
          <w:color w:val="000000" w:themeColor="text1"/>
          <w:lang w:eastAsia="zh-CN"/>
          <w14:textFill>
            <w14:solidFill>
              <w14:schemeClr w14:val="tx1"/>
            </w14:solidFill>
          </w14:textFill>
        </w:rPr>
      </w:pPr>
      <w:bookmarkStart w:id="5" w:name="_TOC_250020"/>
      <w:r>
        <w:rPr>
          <w:rFonts w:hint="eastAsia"/>
          <w:color w:val="000000" w:themeColor="text1"/>
          <w:lang w:eastAsia="zh-CN"/>
          <w14:textFill>
            <w14:solidFill>
              <w14:schemeClr w14:val="tx1"/>
            </w14:solidFill>
          </w14:textFill>
        </w:rPr>
        <w:t>（六）校内实践教学</w:t>
      </w:r>
      <w:bookmarkEnd w:id="5"/>
      <w:r>
        <w:rPr>
          <w:rFonts w:hint="eastAsia"/>
          <w:color w:val="000000" w:themeColor="text1"/>
          <w:lang w:eastAsia="zh-CN"/>
          <w14:textFill>
            <w14:solidFill>
              <w14:schemeClr w14:val="tx1"/>
            </w14:solidFill>
          </w14:textFill>
        </w:rPr>
        <w:t>条件</w:t>
      </w:r>
      <w:r>
        <w:rPr>
          <w:rFonts w:hint="eastAsia"/>
          <w:color w:val="000000" w:themeColor="text1"/>
          <w:w w:val="99"/>
          <w:lang w:eastAsia="zh-CN"/>
          <w14:textFill>
            <w14:solidFill>
              <w14:schemeClr w14:val="tx1"/>
            </w14:solidFill>
          </w14:textFill>
        </w:rPr>
        <w:t xml:space="preserve"> </w:t>
      </w:r>
    </w:p>
    <w:p>
      <w:pPr>
        <w:pStyle w:val="3"/>
        <w:spacing w:before="158" w:line="360" w:lineRule="auto"/>
        <w:ind w:left="0" w:right="227"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学院拥有多专业多种类的实验实训室、实习工厂和培训基地，建有国内首家“多晶硅仿真工厂”实习工厂；建有国家级“教育部——医学临床校内生产性实训基地”；建有 “教育部——中兴通讯ICT行业创新基地”、“乐山太阳能研究院”、“乐山药物研究中心”、“省教育厅——光伏新能源虚拟仿真实训中心”、“现代网络通讯实训中心”、“汽车检测与维修实训中心”、“财务共享服务中心”、“智慧学习工场”、“烹饪实训中心”；同时还建有“启航模具”、“学术交流与培训中心”、“丰野农场”、“海棠药店”、“雅正旅行社”、“京东校园实训中心”等校内生产性实训基地。</w:t>
      </w:r>
    </w:p>
    <w:p>
      <w:pPr>
        <w:pStyle w:val="3"/>
        <w:spacing w:before="158" w:line="360" w:lineRule="auto"/>
        <w:ind w:left="0" w:right="227"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承担了全院文科、理科和工科多个专业的校内实践教学、专业技能竞赛。为乐山市技师（高级技师）、高中级品劳务品牌培训、农村劳动力转移、新型职业农民、茶艺师技能、组织干部培训、扶贫带头人培训、国家职业工种鉴定考评员培训、公益培训、SYB培训等多项培训提供技术支持与服务，社会服务年均达9000人次以上。</w:t>
      </w:r>
    </w:p>
    <w:p>
      <w:pPr>
        <w:pStyle w:val="3"/>
        <w:spacing w:before="158" w:line="360" w:lineRule="auto"/>
        <w:ind w:left="0" w:right="227"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学院现校内教学科研仪器设备总值达1.184156亿元，生均教学科研仪器设备值9953.4元。实验实训场所占地面积89018.55平方米，实验实训室为179个，房间266间；校内实践教学工位数6734个；公共机房16间，专业机房24间，计算机共1723台。</w:t>
      </w:r>
    </w:p>
    <w:p>
      <w:pPr>
        <w:pStyle w:val="3"/>
        <w:spacing w:before="158" w:line="360" w:lineRule="auto"/>
        <w:ind w:left="0" w:right="225" w:firstLine="482" w:firstLineChars="200"/>
        <w:rPr>
          <w:b/>
          <w:bCs/>
          <w:spacing w:val="-20"/>
          <w:sz w:val="28"/>
          <w:szCs w:val="28"/>
          <w:lang w:eastAsia="zh-CN"/>
        </w:rPr>
      </w:pPr>
      <w:r>
        <w:rPr>
          <w:rFonts w:hint="eastAsia"/>
          <w:b/>
          <w:bCs/>
          <w:spacing w:val="-20"/>
          <w:sz w:val="28"/>
          <w:szCs w:val="28"/>
          <w:lang w:eastAsia="zh-CN"/>
        </w:rPr>
        <w:t>二、“双师”队伍建设</w:t>
      </w:r>
    </w:p>
    <w:p>
      <w:pPr>
        <w:pStyle w:val="3"/>
        <w:spacing w:before="158" w:line="360" w:lineRule="auto"/>
        <w:ind w:left="0" w:right="227" w:firstLine="480" w:firstLineChars="200"/>
        <w:jc w:val="both"/>
        <w:rPr>
          <w:color w:val="111111"/>
          <w:lang w:eastAsia="zh-CN"/>
        </w:rPr>
      </w:pPr>
      <w:r>
        <w:rPr>
          <w:rFonts w:hint="eastAsia"/>
          <w:color w:val="111111"/>
          <w:lang w:eastAsia="zh-CN"/>
        </w:rPr>
        <w:t>学院始终坚持党管人才原则，按照“服务发展、人才优先、以用为本、创新机制、高端引领、整体开发”的方针，着力实施人才强校战略，不断创新人才工作机制，努力打造高水平师资队伍。目前，学院有专任教师517人，教授41人、副教授137人，博士研究生23人、硕士研究生260余人，博士后4人，专任专业课“双师素质”教师比例达80.9%；校外兼职教师257人，校外兼课教师47人；生师比为17.93:1。拥有四川省学术和技术带头人1人、后备人选2人，四川省旅游业青年专家1人，四川省技能大师工作室领办人1人，四川省高职院校紧缺领域教师技艺技能传承创新平台主持人2人，四川省职业院校教师（校长）省级培训专家4人，四川省技能人才培育突出贡献奖获得者1人；乐山市学术和技术带头人16人、后备人选20人，乐山市有突出贡献技师3人，乐山市技能大师工作室领办人2人，乐山市优秀高层次人才36人，乐山市专家评议（审）委员会委员29人，乐山市乡村振兴专家服务团专家10人。</w:t>
      </w:r>
    </w:p>
    <w:p>
      <w:pPr>
        <w:pStyle w:val="3"/>
        <w:spacing w:before="158" w:line="360" w:lineRule="auto"/>
        <w:ind w:left="0" w:right="225" w:firstLine="482" w:firstLineChars="200"/>
        <w:jc w:val="both"/>
        <w:rPr>
          <w:b/>
          <w:bCs/>
          <w:color w:val="111111"/>
          <w:lang w:eastAsia="zh-CN"/>
        </w:rPr>
      </w:pPr>
      <w:r>
        <w:rPr>
          <w:rFonts w:hint="eastAsia"/>
          <w:b/>
          <w:bCs/>
          <w:color w:val="111111"/>
          <w:lang w:eastAsia="zh-CN"/>
        </w:rPr>
        <w:t>（一）改革体制机制，完善制度建设保障教师发展</w:t>
      </w:r>
    </w:p>
    <w:p>
      <w:pPr>
        <w:pStyle w:val="3"/>
        <w:spacing w:before="158" w:line="360" w:lineRule="auto"/>
        <w:ind w:left="0" w:right="227" w:firstLine="480" w:firstLineChars="200"/>
        <w:jc w:val="both"/>
        <w:rPr>
          <w:color w:val="111111"/>
          <w:lang w:eastAsia="zh-CN"/>
        </w:rPr>
      </w:pPr>
      <w:r>
        <w:rPr>
          <w:rFonts w:hint="eastAsia"/>
          <w:color w:val="111111"/>
          <w:lang w:eastAsia="zh-CN"/>
        </w:rPr>
        <w:t>按照“多劳多得、优劳优酬、效率优先、兼顾公平”的原则，深化学院内部收入分配制度改革，制定出台《乐山职业技术学院绩效工资一级分配方案（试行）》等系列文件，建立起以岗位职责为核心，以贡献大小为导向的绩效工资体系，形成更加有效的激励机制。健全和完善专业技术人员职称评审制度，制定出台《乐山职业技术学院专业技术职称自主评审办法（试行）》《乐山职业技术学院高层次人才高级专业技术职务评（聘）暂行办法》等文件，建立起分类评价、分类管理和自主评审制度，形成竞争择优、能上能下、让优秀人才脱颖而出的科学用人机制。建立和完善人才政策体系，制定出台《乐山职业技术学院“青江人才支持计划”实施办法》，大力推进以“青江名师”“青江工匠”“青江科创领军”为核心的人才培育工程，着力打造“青江品牌”重点人才和重点培育人才。积极探索和完善高层次人才柔性流动的人才引进和使用机制，出台《乐山职业技术学院“青江学者计划”实施办法》，促进学院与社会各界的交流与合作，充分发挥校外著名专家、学者、杰出人才及社会知名人士对我院师资队伍建设等方面的指导与推动作用。</w:t>
      </w:r>
    </w:p>
    <w:p>
      <w:pPr>
        <w:pStyle w:val="3"/>
        <w:spacing w:before="158" w:line="360" w:lineRule="auto"/>
        <w:ind w:left="0" w:right="225" w:firstLine="482" w:firstLineChars="200"/>
        <w:jc w:val="both"/>
        <w:rPr>
          <w:b/>
          <w:bCs/>
          <w:color w:val="111111"/>
          <w:lang w:eastAsia="zh-CN"/>
        </w:rPr>
      </w:pPr>
      <w:r>
        <w:rPr>
          <w:rFonts w:hint="eastAsia"/>
          <w:b/>
          <w:bCs/>
          <w:color w:val="111111"/>
          <w:lang w:eastAsia="zh-CN"/>
        </w:rPr>
        <w:t>（二）建好用好师培基地，促进教师专业发展</w:t>
      </w:r>
    </w:p>
    <w:p>
      <w:pPr>
        <w:pStyle w:val="3"/>
        <w:spacing w:before="158" w:line="360" w:lineRule="auto"/>
        <w:ind w:left="0" w:right="227" w:firstLine="480" w:firstLineChars="200"/>
        <w:jc w:val="both"/>
        <w:rPr>
          <w:color w:val="111111"/>
          <w:lang w:eastAsia="zh-CN"/>
        </w:rPr>
      </w:pPr>
      <w:r>
        <w:rPr>
          <w:rFonts w:hint="eastAsia"/>
          <w:color w:val="111111"/>
          <w:lang w:eastAsia="zh-CN"/>
        </w:rPr>
        <w:t>加强教师发展中心建设，以提升教师职业素养和专业能力为目标，以高规格师资培训项目为载体，健全教师培养和专业化发展体制机制，形成具有学院特色，能满足教师个性化发展需要，专业化、制度化、常态化的教师发展体系。深入贯彻落实“职教二十条”精神，学院以教师发展中心为载体，与乐山市教育局合作共建“乐山市职业教育教师培养培训基地”和“乐山市职业教育研究中心”，有力促进乐山职教体系建设和中高职一体化发展，辐射带动区域职教师资队伍建设。</w:t>
      </w:r>
    </w:p>
    <w:p>
      <w:pPr>
        <w:pStyle w:val="3"/>
        <w:spacing w:before="158" w:line="360" w:lineRule="auto"/>
        <w:ind w:left="0" w:right="227" w:firstLine="480" w:firstLineChars="200"/>
        <w:jc w:val="both"/>
        <w:rPr>
          <w:color w:val="111111"/>
          <w:lang w:eastAsia="zh-CN"/>
        </w:rPr>
      </w:pPr>
      <w:r>
        <w:rPr>
          <w:rFonts w:hint="eastAsia"/>
          <w:color w:val="111111"/>
          <w:lang w:eastAsia="zh-CN"/>
        </w:rPr>
        <w:t>以助推一流专业建设为落脚点，分别与乐山市人民医院、乐山市金海棠大酒店和峨眉世纪阳光大酒店开展深度合作，共同打造技术研究与生产实践互通、资源共享的校企深度融合“双师型”教师培养培训基地和教师企业实践基地。本年度，学院与乐山市人民医院签订《院校高层人次才队伍共建共享合作框架协议》，通过校企双方人才互派，共建以专业群带头人、骨干教师、行业企业骨干为核心的“双师型”师资团队，深入发挥基地在教师专业技能、实践能力、知识拓展等重要作用，推动教师在专业领域向更深入、更广阔空间的发展。2019年，学院柔性引进乐山市人民医院专家担任护理专业带头人，在该带头带领下我院护理专业教学团队成功入选首批国家级职业教育教师教学创新团队（养老服务）。</w:t>
      </w:r>
    </w:p>
    <w:p>
      <w:pPr>
        <w:pStyle w:val="3"/>
        <w:spacing w:before="158" w:line="360" w:lineRule="auto"/>
        <w:ind w:left="0" w:right="225" w:firstLine="482" w:firstLineChars="200"/>
        <w:jc w:val="both"/>
        <w:rPr>
          <w:b/>
          <w:bCs/>
          <w:color w:val="111111"/>
          <w:lang w:eastAsia="zh-CN"/>
        </w:rPr>
      </w:pPr>
      <w:r>
        <w:rPr>
          <w:rFonts w:hint="eastAsia"/>
          <w:b/>
          <w:bCs/>
          <w:color w:val="111111"/>
          <w:lang w:eastAsia="zh-CN"/>
        </w:rPr>
        <w:t>（三）实施强师工程，助力高水平双师队伍建设</w:t>
      </w:r>
    </w:p>
    <w:p>
      <w:pPr>
        <w:pStyle w:val="3"/>
        <w:spacing w:before="158" w:line="360" w:lineRule="auto"/>
        <w:ind w:left="0" w:right="227" w:firstLine="480" w:firstLineChars="200"/>
        <w:jc w:val="both"/>
        <w:rPr>
          <w:color w:val="111111"/>
          <w:lang w:eastAsia="zh-CN"/>
        </w:rPr>
      </w:pPr>
      <w:r>
        <w:rPr>
          <w:rFonts w:hint="eastAsia"/>
          <w:color w:val="111111"/>
          <w:lang w:eastAsia="zh-CN"/>
        </w:rPr>
        <w:t>推动以“高水平双师队伍建设”为核心的师资队伍建设工程，借“现代工匠精神”职教文化建设之力，促进我院教师在职业道德素养、教育教学理念、专业知识水平、教育教学能力以及社会服务能力的提升。实施领军人才、专家、名师引进和培养工程以及优秀团队建设工程，以重点专业建设为依托，打造一批以技能大师（名师）、专业负责人、教学名师为示范带动，结伴专业成长、互学互促、群策群力、富有专业特色的教学创新团队；实施中青年教师职业生涯发展支持计划以及教师教育教学综合能力提升工程，以青年教师规培和专业主任负责制为抓手，有效实现教师“全过程”成长培养以及师资队伍梯度的有序提升；实施“借智发展”工程，进一步完善兼职教师聘用、管理等多元化用人机制，以校企合作为主平台，深入挖掘社会资源，充分借用其智力优势，助推学院高水平师资队伍建设。</w:t>
      </w:r>
    </w:p>
    <w:p>
      <w:pPr>
        <w:pStyle w:val="3"/>
        <w:spacing w:before="158" w:line="360" w:lineRule="auto"/>
        <w:ind w:left="0" w:right="225"/>
        <w:jc w:val="center"/>
        <w:rPr>
          <w:b/>
          <w:bCs/>
          <w:spacing w:val="-20"/>
          <w:lang w:eastAsia="zh-CN"/>
        </w:rPr>
      </w:pPr>
      <w:r>
        <w:rPr>
          <w:rFonts w:hint="eastAsia"/>
          <w:b/>
          <w:bCs/>
          <w:spacing w:val="-20"/>
          <w:lang w:eastAsia="zh-CN"/>
        </w:rPr>
        <w:t>表 3    师资情况表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645"/>
        <w:gridCol w:w="194"/>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pPr>
              <w:pStyle w:val="3"/>
              <w:spacing w:before="158" w:line="360" w:lineRule="auto"/>
              <w:ind w:left="0" w:right="225"/>
              <w:jc w:val="both"/>
              <w:rPr>
                <w:b/>
                <w:bCs/>
                <w:spacing w:val="-20"/>
                <w:sz w:val="21"/>
                <w:szCs w:val="21"/>
                <w:lang w:eastAsia="zh-CN"/>
              </w:rPr>
            </w:pPr>
          </w:p>
        </w:tc>
        <w:tc>
          <w:tcPr>
            <w:tcW w:w="2839" w:type="dxa"/>
            <w:gridSpan w:val="2"/>
            <w:vAlign w:val="center"/>
          </w:tcPr>
          <w:p>
            <w:pPr>
              <w:spacing w:line="360" w:lineRule="auto"/>
              <w:ind w:firstLine="211" w:firstLineChars="100"/>
              <w:rPr>
                <w:b/>
                <w:bCs/>
                <w:spacing w:val="-20"/>
                <w:sz w:val="21"/>
                <w:szCs w:val="21"/>
                <w:lang w:eastAsia="zh-CN"/>
              </w:rPr>
            </w:pPr>
            <w:r>
              <w:rPr>
                <w:rFonts w:hint="eastAsia"/>
                <w:b/>
                <w:bCs/>
                <w:sz w:val="21"/>
                <w:szCs w:val="21"/>
              </w:rPr>
              <w:t xml:space="preserve"> 教职工数（人）</w:t>
            </w:r>
          </w:p>
        </w:tc>
        <w:tc>
          <w:tcPr>
            <w:tcW w:w="2839" w:type="dxa"/>
            <w:vAlign w:val="center"/>
          </w:tcPr>
          <w:p>
            <w:pPr>
              <w:spacing w:line="360" w:lineRule="auto"/>
              <w:rPr>
                <w:b/>
                <w:bCs/>
                <w:spacing w:val="-20"/>
                <w:sz w:val="21"/>
                <w:szCs w:val="21"/>
                <w:lang w:eastAsia="zh-CN"/>
              </w:rPr>
            </w:pPr>
            <w:r>
              <w:rPr>
                <w:rFonts w:hint="eastAsia"/>
                <w:b/>
                <w:bCs/>
                <w:sz w:val="21"/>
                <w:szCs w:val="21"/>
                <w:lang w:eastAsia="zh-CN"/>
              </w:rPr>
              <w:t xml:space="preserve"> 教职工额定编制数（人）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Align w:val="center"/>
          </w:tcPr>
          <w:p>
            <w:pPr>
              <w:spacing w:line="360" w:lineRule="auto"/>
              <w:ind w:firstLine="422" w:firstLineChars="200"/>
              <w:rPr>
                <w:b/>
                <w:bCs/>
                <w:spacing w:val="-20"/>
                <w:sz w:val="21"/>
                <w:szCs w:val="21"/>
                <w:lang w:eastAsia="zh-CN"/>
              </w:rPr>
            </w:pPr>
            <w:r>
              <w:rPr>
                <w:rFonts w:hint="eastAsia"/>
                <w:b/>
                <w:bCs/>
                <w:sz w:val="21"/>
                <w:szCs w:val="21"/>
              </w:rPr>
              <w:t>专任教师数（人）</w:t>
            </w:r>
          </w:p>
        </w:tc>
        <w:tc>
          <w:tcPr>
            <w:tcW w:w="2839" w:type="dxa"/>
            <w:gridSpan w:val="2"/>
            <w:vAlign w:val="center"/>
          </w:tcPr>
          <w:p>
            <w:pPr>
              <w:spacing w:line="360" w:lineRule="auto"/>
              <w:jc w:val="center"/>
              <w:rPr>
                <w:b/>
                <w:bCs/>
                <w:spacing w:val="-20"/>
                <w:sz w:val="21"/>
                <w:szCs w:val="21"/>
                <w:lang w:eastAsia="zh-CN"/>
              </w:rPr>
            </w:pPr>
            <w:r>
              <w:rPr>
                <w:rFonts w:hint="eastAsia"/>
                <w:bCs/>
                <w:color w:val="000000" w:themeColor="text1"/>
                <w:sz w:val="21"/>
                <w:szCs w:val="21"/>
                <w:lang w:eastAsia="zh-CN"/>
                <w14:textFill>
                  <w14:solidFill>
                    <w14:schemeClr w14:val="tx1"/>
                  </w14:solidFill>
                </w14:textFill>
              </w:rPr>
              <w:t>752</w:t>
            </w:r>
          </w:p>
        </w:tc>
        <w:tc>
          <w:tcPr>
            <w:tcW w:w="2839" w:type="dxa"/>
            <w:vAlign w:val="center"/>
          </w:tcPr>
          <w:p>
            <w:pPr>
              <w:spacing w:line="360" w:lineRule="auto"/>
              <w:jc w:val="center"/>
              <w:rPr>
                <w:b/>
                <w:bCs/>
                <w:spacing w:val="-20"/>
                <w:sz w:val="21"/>
                <w:szCs w:val="21"/>
                <w:lang w:eastAsia="zh-CN"/>
              </w:rPr>
            </w:pPr>
            <w:r>
              <w:rPr>
                <w:rFonts w:hint="eastAsia"/>
                <w:bCs/>
                <w:color w:val="000000" w:themeColor="text1"/>
                <w:sz w:val="21"/>
                <w:szCs w:val="21"/>
                <w14:textFill>
                  <w14:solidFill>
                    <w14:schemeClr w14:val="tx1"/>
                  </w14:solidFill>
                </w14:textFill>
              </w:rPr>
              <w:t>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restart"/>
            <w:vAlign w:val="center"/>
          </w:tcPr>
          <w:p>
            <w:pPr>
              <w:pStyle w:val="3"/>
              <w:spacing w:before="158" w:line="360" w:lineRule="auto"/>
              <w:ind w:left="0" w:right="225"/>
              <w:jc w:val="center"/>
              <w:rPr>
                <w:b/>
                <w:bCs/>
                <w:spacing w:val="-20"/>
                <w:sz w:val="21"/>
                <w:szCs w:val="21"/>
                <w:lang w:eastAsia="zh-CN"/>
              </w:rPr>
            </w:pPr>
            <w:r>
              <w:rPr>
                <w:rFonts w:hint="eastAsia"/>
                <w:spacing w:val="-20"/>
                <w:sz w:val="21"/>
                <w:szCs w:val="21"/>
                <w:lang w:eastAsia="zh-CN"/>
              </w:rPr>
              <w:t>517</w:t>
            </w:r>
          </w:p>
        </w:tc>
        <w:tc>
          <w:tcPr>
            <w:tcW w:w="5678" w:type="dxa"/>
            <w:gridSpan w:val="3"/>
            <w:vAlign w:val="center"/>
          </w:tcPr>
          <w:p>
            <w:pPr>
              <w:spacing w:line="360" w:lineRule="auto"/>
              <w:ind w:firstLine="1476" w:firstLineChars="700"/>
              <w:rPr>
                <w:b/>
                <w:bCs/>
                <w:spacing w:val="-20"/>
                <w:sz w:val="21"/>
                <w:szCs w:val="21"/>
                <w:lang w:eastAsia="zh-CN"/>
              </w:rPr>
            </w:pPr>
            <w:r>
              <w:rPr>
                <w:rFonts w:hint="eastAsia"/>
                <w:b/>
                <w:bCs/>
                <w:color w:val="000000" w:themeColor="text1"/>
                <w:sz w:val="21"/>
                <w:szCs w:val="21"/>
                <w14:textFill>
                  <w14:solidFill>
                    <w14:schemeClr w14:val="tx1"/>
                  </w14:solidFill>
                </w14:textFill>
              </w:rPr>
              <w:t>专任教师（人）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continue"/>
          </w:tcPr>
          <w:p>
            <w:pPr>
              <w:pStyle w:val="3"/>
              <w:spacing w:before="158" w:line="360" w:lineRule="auto"/>
              <w:ind w:left="0" w:right="225"/>
              <w:jc w:val="both"/>
              <w:rPr>
                <w:b/>
                <w:bCs/>
                <w:spacing w:val="-20"/>
                <w:sz w:val="21"/>
                <w:szCs w:val="21"/>
                <w:lang w:eastAsia="zh-CN"/>
              </w:rPr>
            </w:pPr>
          </w:p>
        </w:tc>
        <w:tc>
          <w:tcPr>
            <w:tcW w:w="2645" w:type="dxa"/>
            <w:vAlign w:val="center"/>
          </w:tcPr>
          <w:p>
            <w:pPr>
              <w:spacing w:line="360" w:lineRule="auto"/>
              <w:jc w:val="center"/>
              <w:rPr>
                <w:b/>
                <w:bCs/>
                <w:spacing w:val="-20"/>
                <w:sz w:val="21"/>
                <w:szCs w:val="21"/>
                <w:lang w:eastAsia="zh-CN"/>
              </w:rPr>
            </w:pPr>
            <w:r>
              <w:rPr>
                <w:rFonts w:hint="eastAsia"/>
                <w:b/>
                <w:bCs/>
                <w:color w:val="000000" w:themeColor="text1"/>
                <w:sz w:val="21"/>
                <w:szCs w:val="21"/>
                <w14:textFill>
                  <w14:solidFill>
                    <w14:schemeClr w14:val="tx1"/>
                  </w14:solidFill>
                </w14:textFill>
              </w:rPr>
              <w:t>专业教师数</w:t>
            </w:r>
          </w:p>
        </w:tc>
        <w:tc>
          <w:tcPr>
            <w:tcW w:w="3033" w:type="dxa"/>
            <w:gridSpan w:val="2"/>
            <w:vAlign w:val="center"/>
          </w:tcPr>
          <w:p>
            <w:pPr>
              <w:spacing w:line="360" w:lineRule="auto"/>
              <w:jc w:val="center"/>
              <w:rPr>
                <w:b/>
                <w:bCs/>
                <w:spacing w:val="-20"/>
                <w:sz w:val="21"/>
                <w:szCs w:val="21"/>
                <w:lang w:eastAsia="zh-CN"/>
              </w:rPr>
            </w:pPr>
            <w:r>
              <w:rPr>
                <w:rFonts w:hint="eastAsia"/>
                <w:b/>
                <w:bCs/>
                <w:color w:val="000000" w:themeColor="text1"/>
                <w:sz w:val="21"/>
                <w:szCs w:val="21"/>
                <w14:textFill>
                  <w14:solidFill>
                    <w14:schemeClr w14:val="tx1"/>
                  </w14:solidFill>
                </w14:textFill>
              </w:rPr>
              <w:t>双师型教师数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continue"/>
          </w:tcPr>
          <w:p>
            <w:pPr>
              <w:pStyle w:val="3"/>
              <w:spacing w:before="158" w:line="360" w:lineRule="auto"/>
              <w:ind w:left="0" w:right="225"/>
              <w:jc w:val="both"/>
              <w:rPr>
                <w:b/>
                <w:bCs/>
                <w:spacing w:val="-20"/>
                <w:sz w:val="21"/>
                <w:szCs w:val="21"/>
                <w:lang w:eastAsia="zh-CN"/>
              </w:rPr>
            </w:pPr>
          </w:p>
        </w:tc>
        <w:tc>
          <w:tcPr>
            <w:tcW w:w="2645" w:type="dxa"/>
            <w:vAlign w:val="center"/>
          </w:tcPr>
          <w:p>
            <w:pPr>
              <w:spacing w:line="360" w:lineRule="auto"/>
              <w:jc w:val="center"/>
              <w:rPr>
                <w:b/>
                <w:bCs/>
                <w:spacing w:val="-20"/>
                <w:sz w:val="21"/>
                <w:szCs w:val="21"/>
                <w:lang w:eastAsia="zh-CN"/>
              </w:rPr>
            </w:pPr>
            <w:r>
              <w:rPr>
                <w:rFonts w:hint="eastAsia"/>
                <w:bCs/>
                <w:color w:val="000000" w:themeColor="text1"/>
                <w:sz w:val="21"/>
                <w:szCs w:val="21"/>
                <w:lang w:eastAsia="zh-CN"/>
                <w14:textFill>
                  <w14:solidFill>
                    <w14:schemeClr w14:val="tx1"/>
                  </w14:solidFill>
                </w14:textFill>
              </w:rPr>
              <w:t>448</w:t>
            </w:r>
          </w:p>
        </w:tc>
        <w:tc>
          <w:tcPr>
            <w:tcW w:w="3033" w:type="dxa"/>
            <w:gridSpan w:val="2"/>
            <w:vAlign w:val="center"/>
          </w:tcPr>
          <w:p>
            <w:pPr>
              <w:spacing w:line="360" w:lineRule="auto"/>
              <w:jc w:val="center"/>
              <w:rPr>
                <w:b/>
                <w:bCs/>
                <w:spacing w:val="-20"/>
                <w:sz w:val="21"/>
                <w:szCs w:val="21"/>
                <w:lang w:eastAsia="zh-CN"/>
              </w:rPr>
            </w:pPr>
            <w:r>
              <w:rPr>
                <w:rFonts w:hint="eastAsia"/>
                <w:bCs/>
                <w:color w:val="000000" w:themeColor="text1"/>
                <w:sz w:val="21"/>
                <w:szCs w:val="21"/>
                <w:lang w:eastAsia="zh-CN"/>
                <w14:textFill>
                  <w14:solidFill>
                    <w14:schemeClr w14:val="tx1"/>
                  </w14:solidFill>
                </w14:textFill>
              </w:rPr>
              <w:t>418</w:t>
            </w:r>
          </w:p>
        </w:tc>
      </w:tr>
    </w:tbl>
    <w:p>
      <w:pPr>
        <w:pStyle w:val="2"/>
        <w:spacing w:line="360" w:lineRule="auto"/>
        <w:ind w:left="992"/>
        <w:rPr>
          <w:w w:val="99"/>
          <w:lang w:eastAsia="zh-CN"/>
        </w:rPr>
      </w:pPr>
      <w:bookmarkStart w:id="6" w:name="_TOC_250017"/>
    </w:p>
    <w:p>
      <w:pPr>
        <w:pStyle w:val="2"/>
        <w:numPr>
          <w:ilvl w:val="0"/>
          <w:numId w:val="2"/>
        </w:numPr>
        <w:spacing w:line="360" w:lineRule="auto"/>
        <w:rPr>
          <w:w w:val="99"/>
          <w:sz w:val="28"/>
          <w:szCs w:val="28"/>
        </w:rPr>
      </w:pPr>
      <w:r>
        <w:rPr>
          <w:rFonts w:hint="eastAsia"/>
          <w:sz w:val="28"/>
          <w:szCs w:val="28"/>
        </w:rPr>
        <w:t>专业人才培养</w:t>
      </w:r>
      <w:bookmarkEnd w:id="6"/>
      <w:r>
        <w:rPr>
          <w:rFonts w:hint="eastAsia"/>
          <w:w w:val="99"/>
          <w:sz w:val="28"/>
          <w:szCs w:val="28"/>
        </w:rPr>
        <w:t xml:space="preserve"> </w:t>
      </w:r>
      <w:bookmarkStart w:id="7" w:name="_TOC_250016"/>
    </w:p>
    <w:p>
      <w:pPr>
        <w:pStyle w:val="2"/>
        <w:spacing w:line="360" w:lineRule="auto"/>
        <w:ind w:left="198" w:leftChars="90" w:firstLine="241" w:firstLineChars="100"/>
      </w:pPr>
      <w:r>
        <w:rPr>
          <w:rFonts w:hint="eastAsia"/>
        </w:rPr>
        <w:t>（一）</w:t>
      </w:r>
      <w:r>
        <w:rPr>
          <w:rFonts w:hint="eastAsia"/>
          <w:lang w:eastAsia="zh-CN"/>
        </w:rPr>
        <w:t>优化</w:t>
      </w:r>
      <w:r>
        <w:rPr>
          <w:rFonts w:hint="eastAsia"/>
        </w:rPr>
        <w:t>课程</w:t>
      </w:r>
      <w:r>
        <w:rPr>
          <w:rFonts w:hint="eastAsia"/>
          <w:lang w:eastAsia="zh-CN"/>
        </w:rPr>
        <w:t>体系</w:t>
      </w:r>
      <w:r>
        <w:rPr>
          <w:rFonts w:hint="eastAsia"/>
        </w:rPr>
        <w:t>结构</w:t>
      </w:r>
      <w:bookmarkEnd w:id="7"/>
      <w:r>
        <w:rPr>
          <w:rFonts w:hint="eastAsia"/>
          <w:w w:val="99"/>
        </w:rPr>
        <w:t xml:space="preserve"> </w:t>
      </w:r>
    </w:p>
    <w:p>
      <w:pPr>
        <w:pStyle w:val="2"/>
        <w:spacing w:line="360" w:lineRule="auto"/>
        <w:ind w:left="0" w:firstLine="480" w:firstLineChars="200"/>
        <w:rPr>
          <w:b w:val="0"/>
          <w:bCs w:val="0"/>
          <w:lang w:eastAsia="zh-CN"/>
        </w:rPr>
      </w:pPr>
      <w:r>
        <w:rPr>
          <w:rFonts w:hint="eastAsia"/>
          <w:b w:val="0"/>
          <w:bCs w:val="0"/>
          <w:lang w:eastAsia="zh-CN"/>
        </w:rPr>
        <w:t>按照《教育部关于职业院校专业人才培养方案制订与实施工作的指导意见》，持续优化“公共基础课程+专业课程+拓展课程”的课程设计体系。把立德树人作为根本任务，一是围绕德智体美劳及专业素质要求设置公共基础课程，将思政教育、劳动教育、美育教育、工匠精神融入课程体系，强化立德树人，坚持社会主义办学方向，传承中华民族传统美德，弘扬劳模精神，提升学生美学修养和鉴赏能力，塑造学生精益求精的职业素养。二是积极开展行业调研，根据行业企业技术发展要求、岗位技能需求等进行供需综合分析，明确专业的就业领域、目标岗位群，以及知识、能力、素质要求等相关内容。通过分析典型工作任务，对接国家最新职业标准，以学生职业能力形成为主线，明确专业课程与任务能力之间的对应关系，构建相应的专业课程体系。三是强化实践教学环节。各专业实践教学学时数不低于专业总学时的50%。四是通过专业拓展课，让学生根据自己的兴趣和特长，可选择不同的课程，促进学生个性发展。通过以上做法，以提升学生思想道德修养、人文素养和综合职业能力为目标，不断提升人才培养质量。</w:t>
      </w:r>
      <w:bookmarkStart w:id="8" w:name="_TOC_250015"/>
    </w:p>
    <w:p>
      <w:pPr>
        <w:pStyle w:val="2"/>
        <w:spacing w:line="360" w:lineRule="auto"/>
        <w:ind w:left="0" w:firstLine="482" w:firstLineChars="200"/>
        <w:rPr>
          <w:color w:val="000000" w:themeColor="text1"/>
          <w:w w:val="99"/>
          <w:lang w:eastAsia="zh-CN"/>
          <w14:textFill>
            <w14:solidFill>
              <w14:schemeClr w14:val="tx1"/>
            </w14:solidFill>
          </w14:textFill>
        </w:rPr>
      </w:pPr>
      <w:r>
        <w:rPr>
          <w:rFonts w:hint="eastAsia"/>
          <w:color w:val="000000" w:themeColor="text1"/>
          <w:lang w:eastAsia="zh-CN"/>
          <w14:textFill>
            <w14:solidFill>
              <w14:schemeClr w14:val="tx1"/>
            </w14:solidFill>
          </w14:textFill>
        </w:rPr>
        <w:t>（二）校外实习实训基地</w:t>
      </w:r>
      <w:bookmarkEnd w:id="8"/>
      <w:r>
        <w:rPr>
          <w:rFonts w:hint="eastAsia"/>
          <w:color w:val="000000" w:themeColor="text1"/>
          <w:w w:val="99"/>
          <w:lang w:eastAsia="zh-CN"/>
          <w14:textFill>
            <w14:solidFill>
              <w14:schemeClr w14:val="tx1"/>
            </w14:solidFill>
          </w14:textFill>
        </w:rPr>
        <w:t xml:space="preserve"> </w:t>
      </w:r>
      <w:bookmarkStart w:id="9" w:name="_TOC_250014"/>
    </w:p>
    <w:p>
      <w:pPr>
        <w:pStyle w:val="2"/>
        <w:spacing w:line="360" w:lineRule="auto"/>
        <w:ind w:left="0" w:firstLine="480" w:firstLineChars="200"/>
        <w:rPr>
          <w:color w:val="000000" w:themeColor="text1"/>
          <w:lang w:eastAsia="zh-CN"/>
          <w14:textFill>
            <w14:solidFill>
              <w14:schemeClr w14:val="tx1"/>
            </w14:solidFill>
          </w14:textFill>
        </w:rPr>
      </w:pPr>
      <w:r>
        <w:rPr>
          <w:rFonts w:hint="eastAsia"/>
          <w:b w:val="0"/>
          <w:bCs w:val="0"/>
          <w:lang w:eastAsia="zh-CN"/>
        </w:rPr>
        <w:t>学院共有校外实习实训基地291个，2018年各专业学生到校外实习基地进行顶岗实习时间1839人为10个月，折算后“年生均校外实习基地实习时间为300天”，1988人为6个月，折算后“年生均校外实习基地实习时间为180天”；2018学年学生校外实习实训基地实训时间为909540人日。</w:t>
      </w:r>
    </w:p>
    <w:p>
      <w:pPr>
        <w:pStyle w:val="2"/>
        <w:spacing w:before="122" w:line="360" w:lineRule="auto"/>
        <w:ind w:left="0" w:firstLine="482"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（三）企业订单学生所占比例</w:t>
      </w:r>
      <w:bookmarkEnd w:id="9"/>
      <w:r>
        <w:rPr>
          <w:rFonts w:hint="eastAsia"/>
          <w:color w:val="000000" w:themeColor="text1"/>
          <w:lang w:eastAsia="zh-CN"/>
          <w14:textFill>
            <w14:solidFill>
              <w14:schemeClr w14:val="tx1"/>
            </w14:solidFill>
          </w14:textFill>
        </w:rPr>
        <w:t xml:space="preserve"> </w:t>
      </w:r>
    </w:p>
    <w:p>
      <w:pPr>
        <w:pStyle w:val="2"/>
        <w:spacing w:before="122" w:line="360" w:lineRule="auto"/>
        <w:ind w:left="0" w:firstLine="480" w:firstLineChars="200"/>
        <w:rPr>
          <w:b w:val="0"/>
          <w:bCs w:val="0"/>
          <w:lang w:eastAsia="zh-CN"/>
        </w:rPr>
      </w:pPr>
      <w:bookmarkStart w:id="10" w:name="_TOC_250013"/>
      <w:r>
        <w:rPr>
          <w:rFonts w:hint="eastAsia"/>
          <w:b w:val="0"/>
          <w:bCs w:val="0"/>
          <w:lang w:eastAsia="zh-CN"/>
        </w:rPr>
        <w:t>深化校企协同育人，积极推进专业群人才培养模式改革，形成以专业建设为核心、行业企业主动参与、学校主体服务的校企深度融合的“双主体一体化育人模式”。与通威太阳能(成都)有限公司、四川晶科能源有限公司、乐山市人民医院、四川金拱门食品有限公司等企业开展了深度合作开展了订单培养模式及学徒制培养模式，订单及学徒制培养的学生比例达到 15％。</w:t>
      </w:r>
    </w:p>
    <w:p>
      <w:pPr>
        <w:pStyle w:val="2"/>
        <w:spacing w:before="122" w:line="360" w:lineRule="auto"/>
        <w:ind w:left="0" w:firstLine="482" w:firstLineChars="200"/>
        <w:rPr>
          <w:lang w:eastAsia="zh-CN"/>
        </w:rPr>
      </w:pPr>
      <w:r>
        <w:rPr>
          <w:rFonts w:hint="eastAsia"/>
          <w:color w:val="000000" w:themeColor="text1"/>
          <w:lang w:eastAsia="zh-CN"/>
          <w14:textFill>
            <w14:solidFill>
              <w14:schemeClr w14:val="tx1"/>
            </w14:solidFill>
          </w14:textFill>
        </w:rPr>
        <w:t>（四）年支付企业兼职教师课</w:t>
      </w:r>
      <w:r>
        <w:rPr>
          <w:rFonts w:hint="eastAsia"/>
          <w:lang w:eastAsia="zh-CN"/>
        </w:rPr>
        <w:t>酬</w:t>
      </w:r>
      <w:bookmarkEnd w:id="10"/>
      <w:r>
        <w:rPr>
          <w:rFonts w:hint="eastAsia"/>
          <w:lang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58" w:line="360" w:lineRule="auto"/>
        <w:ind w:left="198" w:right="227" w:firstLine="480" w:firstLineChars="200"/>
        <w:textAlignment w:val="auto"/>
        <w:rPr>
          <w:rFonts w:hint="eastAsia" w:ascii="宋体" w:hAnsi="宋体" w:eastAsia="宋体" w:cs="宋体"/>
          <w:b w:val="0"/>
          <w:bCs w:val="0"/>
          <w:sz w:val="24"/>
          <w:szCs w:val="24"/>
          <w:lang w:val="en-US" w:eastAsia="zh-CN" w:bidi="en-US"/>
        </w:rPr>
      </w:pPr>
      <w:r>
        <w:rPr>
          <w:rFonts w:hint="eastAsia" w:ascii="宋体" w:hAnsi="宋体" w:eastAsia="宋体" w:cs="宋体"/>
          <w:b w:val="0"/>
          <w:bCs w:val="0"/>
          <w:sz w:val="24"/>
          <w:szCs w:val="24"/>
          <w:lang w:val="en-US" w:eastAsia="zh-CN" w:bidi="en-US"/>
        </w:rPr>
        <w:t xml:space="preserve">学院以校企合作为纽带，充分发挥合作企业的优势，择优聘用企业兼职教师来校任课。2019年，学院共聘请130名企业兼职教师，共支付兼职教师课时酬金126万元。 </w:t>
      </w:r>
    </w:p>
    <w:p>
      <w:pPr>
        <w:pStyle w:val="2"/>
        <w:spacing w:line="360" w:lineRule="auto"/>
        <w:ind w:left="0" w:firstLine="482" w:firstLineChars="200"/>
        <w:rPr>
          <w:bCs w:val="0"/>
          <w:lang w:eastAsia="zh-CN"/>
        </w:rPr>
      </w:pPr>
      <w:r>
        <w:rPr>
          <w:rFonts w:hint="eastAsia"/>
          <w:bCs w:val="0"/>
          <w:lang w:eastAsia="zh-CN"/>
        </w:rPr>
        <w:t xml:space="preserve">（五）专业与当地产业匹配度 </w:t>
      </w:r>
    </w:p>
    <w:p>
      <w:pPr>
        <w:pStyle w:val="3"/>
        <w:spacing w:before="159" w:line="360" w:lineRule="auto"/>
        <w:ind w:right="349" w:firstLine="480"/>
        <w:rPr>
          <w:spacing w:val="-5"/>
          <w:lang w:eastAsia="zh-CN"/>
        </w:rPr>
      </w:pPr>
      <w:r>
        <w:rPr>
          <w:rFonts w:hint="eastAsia"/>
          <w:spacing w:val="-5"/>
          <w:lang w:eastAsia="zh-CN"/>
        </w:rPr>
        <w:t>对接四川省“双五双七”和乐山“旅游兴市、产业强市”战略定位，布局建设光伏材料制备技术、护理、旅游管理等8个高水平专业群，专业设置对接区域重点产业匹配度达100%，形成了“产业链、专业链、人才链”三链互动的专业集群人才培养效应。。依据专业建设评估体系，实施“动态调整、持续优化、重点突破和整体提升”的发展策略，推动专业由对接和服务产业向支撑和引领产业发展。如光伏材料制备技术专业群精准对接乐山千亿多晶硅及光伏产业和四川省大力发展“新能源、新材料”双七产业战略，着力解决区域产业发展中技术技能人才供给不足、能力不强、素质不高等问题。</w:t>
      </w:r>
      <w:r>
        <w:rPr>
          <w:rFonts w:hint="eastAsia"/>
          <w:lang w:eastAsia="zh-CN"/>
        </w:rPr>
        <w:t xml:space="preserve"> </w:t>
      </w:r>
    </w:p>
    <w:p>
      <w:pPr>
        <w:pStyle w:val="2"/>
        <w:spacing w:before="123" w:line="360" w:lineRule="auto"/>
        <w:ind w:left="0"/>
        <w:jc w:val="center"/>
        <w:rPr>
          <w:rFonts w:hint="eastAsia"/>
          <w:lang w:eastAsia="zh-CN"/>
        </w:rPr>
      </w:pPr>
    </w:p>
    <w:p>
      <w:pPr>
        <w:pStyle w:val="2"/>
        <w:spacing w:before="123" w:line="360" w:lineRule="auto"/>
        <w:ind w:left="0"/>
        <w:jc w:val="center"/>
        <w:rPr>
          <w:rFonts w:hint="eastAsia"/>
          <w:lang w:eastAsia="zh-CN"/>
        </w:rPr>
      </w:pPr>
      <w:r>
        <w:rPr>
          <w:rFonts w:hint="eastAsia"/>
          <w:lang w:eastAsia="zh-CN"/>
        </w:rPr>
        <w:t>图2 学院专业与乐山地区产业匹配情况</w:t>
      </w:r>
    </w:p>
    <w:p>
      <w:pPr>
        <w:rPr>
          <w:lang w:eastAsia="zh-CN"/>
        </w:rPr>
      </w:pPr>
      <w:r>
        <w:rPr>
          <w:rFonts w:hint="eastAsia" w:ascii="Arial" w:hAnsi="Arial" w:eastAsia="仿宋_GB2312" w:cs="Arial"/>
          <w:sz w:val="32"/>
          <w:szCs w:val="32"/>
          <w:lang w:eastAsia="zh-CN" w:bidi="ar-SA"/>
        </w:rPr>
        <w:drawing>
          <wp:anchor distT="0" distB="0" distL="114935" distR="114935" simplePos="0" relativeHeight="251658240" behindDoc="0" locked="0" layoutInCell="1" allowOverlap="1">
            <wp:simplePos x="0" y="0"/>
            <wp:positionH relativeFrom="column">
              <wp:posOffset>-97790</wp:posOffset>
            </wp:positionH>
            <wp:positionV relativeFrom="paragraph">
              <wp:posOffset>48895</wp:posOffset>
            </wp:positionV>
            <wp:extent cx="5690870" cy="2710180"/>
            <wp:effectExtent l="0" t="0" r="5080" b="13970"/>
            <wp:wrapSquare wrapText="bothSides"/>
            <wp:docPr id="5" name="图片 5" descr="C:\Users\Administrator\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111.png111"/>
                    <pic:cNvPicPr>
                      <a:picLocks noChangeAspect="1"/>
                    </pic:cNvPicPr>
                  </pic:nvPicPr>
                  <pic:blipFill>
                    <a:blip r:embed="rId8"/>
                    <a:stretch>
                      <a:fillRect/>
                    </a:stretch>
                  </pic:blipFill>
                  <pic:spPr>
                    <a:xfrm>
                      <a:off x="0" y="0"/>
                      <a:ext cx="5690870" cy="2710180"/>
                    </a:xfrm>
                    <a:prstGeom prst="rect">
                      <a:avLst/>
                    </a:prstGeom>
                    <a:noFill/>
                    <a:ln>
                      <a:noFill/>
                    </a:ln>
                  </pic:spPr>
                </pic:pic>
              </a:graphicData>
            </a:graphic>
          </wp:anchor>
        </w:drawing>
      </w:r>
    </w:p>
    <w:p>
      <w:pPr>
        <w:pStyle w:val="2"/>
        <w:spacing w:before="123" w:line="360" w:lineRule="auto"/>
        <w:ind w:left="0" w:firstLine="482" w:firstLineChars="200"/>
        <w:rPr>
          <w:lang w:eastAsia="zh-CN"/>
        </w:rPr>
      </w:pPr>
      <w:bookmarkStart w:id="11" w:name="_TOC_250009"/>
      <w:r>
        <w:rPr>
          <w:rFonts w:hint="eastAsia"/>
          <w:lang w:eastAsia="zh-CN"/>
        </w:rPr>
        <w:t>（六）招生计划完成</w:t>
      </w:r>
      <w:bookmarkEnd w:id="11"/>
      <w:r>
        <w:rPr>
          <w:rFonts w:hint="eastAsia"/>
          <w:lang w:eastAsia="zh-CN"/>
        </w:rPr>
        <w:t>度</w:t>
      </w:r>
      <w:r>
        <w:rPr>
          <w:rFonts w:hint="eastAsia"/>
          <w:w w:val="99"/>
          <w:lang w:eastAsia="zh-CN"/>
        </w:rPr>
        <w:t xml:space="preserve"> </w:t>
      </w:r>
    </w:p>
    <w:p>
      <w:pPr>
        <w:pStyle w:val="2"/>
        <w:spacing w:before="123" w:line="360" w:lineRule="auto"/>
        <w:ind w:left="0" w:firstLine="480" w:firstLineChars="200"/>
        <w:rPr>
          <w:b w:val="0"/>
          <w:bCs w:val="0"/>
          <w:lang w:eastAsia="zh-CN"/>
        </w:rPr>
      </w:pPr>
      <w:bookmarkStart w:id="12" w:name="_TOC_250008"/>
      <w:r>
        <w:rPr>
          <w:rFonts w:hint="eastAsia"/>
          <w:b w:val="0"/>
          <w:bCs w:val="0"/>
          <w:lang w:eastAsia="zh-CN"/>
        </w:rPr>
        <w:t>近三年学院总体招生计划数稳中有升，严格按照各专业社会需求制定相关专业招生计划数，并积极响应国家号召，逐年提高单独招生比例，近三年单独招生人数增幅明显。2017-2019年实际招生情况详见表4。</w:t>
      </w:r>
    </w:p>
    <w:p>
      <w:pPr>
        <w:pStyle w:val="3"/>
        <w:spacing w:before="91" w:line="360" w:lineRule="auto"/>
        <w:ind w:left="0" w:right="155"/>
        <w:jc w:val="center"/>
        <w:rPr>
          <w:b/>
          <w:bCs/>
          <w:lang w:eastAsia="zh-CN"/>
        </w:rPr>
      </w:pPr>
      <w:r>
        <w:rPr>
          <w:rFonts w:hint="eastAsia"/>
          <w:b/>
          <w:bCs/>
          <w:color w:val="000000" w:themeColor="text1"/>
          <w14:textFill>
            <w14:solidFill>
              <w14:schemeClr w14:val="tx1"/>
            </w14:solidFill>
          </w14:textFill>
        </w:rPr>
        <w:t>表</w:t>
      </w:r>
      <w:r>
        <w:rPr>
          <w:rFonts w:hint="eastAsia"/>
          <w:b/>
          <w:bCs/>
          <w:color w:val="000000" w:themeColor="text1"/>
          <w:lang w:eastAsia="zh-CN"/>
          <w14:textFill>
            <w14:solidFill>
              <w14:schemeClr w14:val="tx1"/>
            </w14:solidFill>
          </w14:textFill>
        </w:rPr>
        <w:t xml:space="preserve">4  </w:t>
      </w:r>
      <w:r>
        <w:rPr>
          <w:rFonts w:hint="eastAsia"/>
          <w:b/>
          <w:bCs/>
        </w:rPr>
        <w:t>2017-2019年招生情况</w:t>
      </w:r>
      <w:r>
        <w:rPr>
          <w:rFonts w:hint="eastAsia"/>
          <w:b/>
          <w:bCs/>
          <w:lang w:eastAsia="zh-CN"/>
        </w:rPr>
        <w:t>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spacing w:line="360" w:lineRule="auto"/>
              <w:jc w:val="center"/>
              <w:textAlignment w:val="center"/>
              <w:rPr>
                <w:lang w:eastAsia="zh-CN"/>
              </w:rPr>
            </w:pPr>
            <w:r>
              <w:rPr>
                <w:rFonts w:hint="eastAsia"/>
                <w:b/>
                <w:bCs/>
                <w:color w:val="000000" w:themeColor="text1"/>
                <w:sz w:val="21"/>
                <w:szCs w:val="21"/>
                <w:lang w:bidi="ar"/>
                <w14:textFill>
                  <w14:solidFill>
                    <w14:schemeClr w14:val="tx1"/>
                  </w14:solidFill>
                </w14:textFill>
              </w:rPr>
              <w:t>年度</w:t>
            </w:r>
          </w:p>
        </w:tc>
        <w:tc>
          <w:tcPr>
            <w:tcW w:w="1703" w:type="dxa"/>
            <w:vAlign w:val="center"/>
          </w:tcPr>
          <w:p>
            <w:pPr>
              <w:widowControl/>
              <w:spacing w:line="360" w:lineRule="auto"/>
              <w:jc w:val="center"/>
              <w:textAlignment w:val="center"/>
              <w:rPr>
                <w:lang w:eastAsia="zh-CN"/>
              </w:rPr>
            </w:pPr>
            <w:r>
              <w:rPr>
                <w:rFonts w:hint="eastAsia"/>
                <w:b/>
                <w:bCs/>
                <w:color w:val="000000" w:themeColor="text1"/>
                <w:sz w:val="21"/>
                <w:szCs w:val="21"/>
                <w:lang w:bidi="ar"/>
                <w14:textFill>
                  <w14:solidFill>
                    <w14:schemeClr w14:val="tx1"/>
                  </w14:solidFill>
                </w14:textFill>
              </w:rPr>
              <w:t>招生计划数（人）</w:t>
            </w:r>
          </w:p>
        </w:tc>
        <w:tc>
          <w:tcPr>
            <w:tcW w:w="1703" w:type="dxa"/>
            <w:vAlign w:val="center"/>
          </w:tcPr>
          <w:p>
            <w:pPr>
              <w:widowControl/>
              <w:spacing w:line="360" w:lineRule="auto"/>
              <w:jc w:val="center"/>
              <w:textAlignment w:val="center"/>
              <w:rPr>
                <w:lang w:eastAsia="zh-CN"/>
              </w:rPr>
            </w:pPr>
            <w:r>
              <w:rPr>
                <w:rFonts w:hint="eastAsia"/>
                <w:b/>
                <w:bCs/>
                <w:color w:val="000000" w:themeColor="text1"/>
                <w:sz w:val="21"/>
                <w:szCs w:val="21"/>
                <w:lang w:bidi="ar"/>
                <w14:textFill>
                  <w14:solidFill>
                    <w14:schemeClr w14:val="tx1"/>
                  </w14:solidFill>
                </w14:textFill>
              </w:rPr>
              <w:t>计划完成率（%）</w:t>
            </w:r>
          </w:p>
        </w:tc>
        <w:tc>
          <w:tcPr>
            <w:tcW w:w="1703" w:type="dxa"/>
            <w:vAlign w:val="center"/>
          </w:tcPr>
          <w:p>
            <w:pPr>
              <w:widowControl/>
              <w:spacing w:line="360" w:lineRule="auto"/>
              <w:jc w:val="center"/>
              <w:textAlignment w:val="center"/>
              <w:rPr>
                <w:lang w:eastAsia="zh-CN"/>
              </w:rPr>
            </w:pPr>
            <w:r>
              <w:rPr>
                <w:rFonts w:hint="eastAsia"/>
                <w:b/>
                <w:bCs/>
                <w:color w:val="000000" w:themeColor="text1"/>
                <w:sz w:val="21"/>
                <w:szCs w:val="21"/>
                <w:lang w:bidi="ar"/>
                <w14:textFill>
                  <w14:solidFill>
                    <w14:schemeClr w14:val="tx1"/>
                  </w14:solidFill>
                </w14:textFill>
              </w:rPr>
              <w:t>新生报到数（人）</w:t>
            </w:r>
          </w:p>
        </w:tc>
        <w:tc>
          <w:tcPr>
            <w:tcW w:w="1704" w:type="dxa"/>
            <w:vAlign w:val="center"/>
          </w:tcPr>
          <w:p>
            <w:pPr>
              <w:widowControl/>
              <w:spacing w:line="360" w:lineRule="auto"/>
              <w:jc w:val="center"/>
              <w:textAlignment w:val="center"/>
              <w:rPr>
                <w:lang w:eastAsia="zh-CN"/>
              </w:rPr>
            </w:pPr>
            <w:r>
              <w:rPr>
                <w:rFonts w:hint="eastAsia"/>
                <w:b/>
                <w:bCs/>
                <w:color w:val="000000" w:themeColor="text1"/>
                <w:sz w:val="21"/>
                <w:szCs w:val="21"/>
                <w:lang w:bidi="ar"/>
                <w14:textFill>
                  <w14:solidFill>
                    <w14:schemeClr w14:val="tx1"/>
                  </w14:solidFill>
                </w14:textFill>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2017</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4510</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100</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4053</w:t>
            </w:r>
          </w:p>
        </w:tc>
        <w:tc>
          <w:tcPr>
            <w:tcW w:w="1704"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89.87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2018</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4430</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100</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4139</w:t>
            </w:r>
          </w:p>
        </w:tc>
        <w:tc>
          <w:tcPr>
            <w:tcW w:w="1704"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93.43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2019</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5299</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99.38</w:t>
            </w:r>
          </w:p>
        </w:tc>
        <w:tc>
          <w:tcPr>
            <w:tcW w:w="1703"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4895</w:t>
            </w:r>
          </w:p>
        </w:tc>
        <w:tc>
          <w:tcPr>
            <w:tcW w:w="1704" w:type="dxa"/>
            <w:vAlign w:val="center"/>
          </w:tcPr>
          <w:p>
            <w:pPr>
              <w:widowControl/>
              <w:spacing w:line="360" w:lineRule="auto"/>
              <w:jc w:val="center"/>
              <w:textAlignment w:val="center"/>
              <w:rPr>
                <w:lang w:eastAsia="zh-CN"/>
              </w:rPr>
            </w:pPr>
            <w:r>
              <w:rPr>
                <w:rFonts w:hint="eastAsia"/>
                <w:color w:val="000000" w:themeColor="text1"/>
                <w:sz w:val="21"/>
                <w:szCs w:val="21"/>
                <w:lang w:bidi="ar"/>
                <w14:textFill>
                  <w14:solidFill>
                    <w14:schemeClr w14:val="tx1"/>
                  </w14:solidFill>
                </w14:textFill>
              </w:rPr>
              <w:t>92.95</w:t>
            </w:r>
          </w:p>
        </w:tc>
      </w:tr>
    </w:tbl>
    <w:p>
      <w:pPr>
        <w:pStyle w:val="2"/>
        <w:spacing w:before="123" w:line="360" w:lineRule="auto"/>
        <w:ind w:left="0" w:firstLine="562" w:firstLineChars="200"/>
        <w:rPr>
          <w:sz w:val="28"/>
          <w:szCs w:val="28"/>
          <w:lang w:eastAsia="zh-CN"/>
        </w:rPr>
      </w:pPr>
      <w:r>
        <w:rPr>
          <w:rFonts w:hint="eastAsia"/>
          <w:sz w:val="28"/>
          <w:szCs w:val="28"/>
          <w:lang w:eastAsia="zh-CN"/>
        </w:rPr>
        <w:t>四、学生发展</w:t>
      </w:r>
      <w:bookmarkEnd w:id="12"/>
    </w:p>
    <w:p>
      <w:pPr>
        <w:pStyle w:val="2"/>
        <w:spacing w:before="160" w:line="360" w:lineRule="auto"/>
        <w:ind w:left="0" w:firstLine="482" w:firstLineChars="200"/>
        <w:rPr>
          <w:lang w:eastAsia="zh-CN"/>
        </w:rPr>
      </w:pPr>
      <w:bookmarkStart w:id="13" w:name="_TOC_250007"/>
      <w:r>
        <w:rPr>
          <w:rFonts w:hint="eastAsia"/>
          <w:lang w:eastAsia="zh-CN"/>
        </w:rPr>
        <w:t>（一）毕业生职业资格证书获取率</w:t>
      </w:r>
      <w:bookmarkEnd w:id="13"/>
      <w:r>
        <w:rPr>
          <w:rFonts w:hint="eastAsia"/>
          <w:w w:val="99"/>
          <w:lang w:eastAsia="zh-CN"/>
        </w:rPr>
        <w:t xml:space="preserve"> </w:t>
      </w:r>
    </w:p>
    <w:p>
      <w:pPr>
        <w:spacing w:line="360" w:lineRule="auto"/>
        <w:ind w:firstLine="460" w:firstLineChars="200"/>
        <w:rPr>
          <w:sz w:val="24"/>
          <w:szCs w:val="24"/>
          <w:lang w:eastAsia="zh-CN"/>
        </w:rPr>
      </w:pPr>
      <w:r>
        <w:rPr>
          <w:rFonts w:hint="eastAsia"/>
          <w:spacing w:val="-5"/>
          <w:sz w:val="24"/>
          <w:szCs w:val="24"/>
          <w:lang w:eastAsia="zh-CN"/>
        </w:rPr>
        <w:t>学院全面深化产教融合，积极推进校企合作，加强与行（企）业需求对接。学院成功入围教育部首批“1+X”证书制度试点学院，成功申报4个“1+X”职业技能证书试点专业，不断加快学院“三教改革”和复合型技术技能人才培养。根据2017-2019年数据采集平台数据，2017年学生证书获取人数为2961人，占当年毕业生人数（3574人）的的82.8%；2018年学生证书获取人数为3920人；占当年毕业生人数（3970人）的98.74%；2019年学生证书获取人数为3642人，占当年毕业生人数（3804人）的95.74%。近三年，国家颁发的与专业相关的职业资格证书情况详见</w:t>
      </w:r>
      <w:r>
        <w:rPr>
          <w:rFonts w:hint="eastAsia"/>
          <w:color w:val="000000" w:themeColor="text1"/>
          <w:spacing w:val="-9"/>
          <w:sz w:val="24"/>
          <w:szCs w:val="24"/>
          <w:lang w:eastAsia="zh-CN"/>
          <w14:textFill>
            <w14:solidFill>
              <w14:schemeClr w14:val="tx1"/>
            </w14:solidFill>
          </w14:textFill>
        </w:rPr>
        <w:t>表5</w:t>
      </w:r>
      <w:r>
        <w:rPr>
          <w:rFonts w:hint="eastAsia"/>
          <w:sz w:val="24"/>
          <w:szCs w:val="24"/>
          <w:lang w:eastAsia="zh-CN"/>
        </w:rPr>
        <w:t xml:space="preserve">。 </w:t>
      </w:r>
    </w:p>
    <w:p>
      <w:pPr>
        <w:pStyle w:val="3"/>
        <w:spacing w:line="360" w:lineRule="auto"/>
        <w:jc w:val="center"/>
        <w:rPr>
          <w:b/>
          <w:bCs/>
          <w:lang w:eastAsia="zh-CN"/>
        </w:rPr>
      </w:pPr>
      <w:r>
        <w:rPr>
          <w:rFonts w:hint="eastAsia"/>
          <w:b/>
          <w:bCs/>
          <w:color w:val="000000" w:themeColor="text1"/>
          <w:lang w:eastAsia="zh-CN"/>
          <w14:textFill>
            <w14:solidFill>
              <w14:schemeClr w14:val="tx1"/>
            </w14:solidFill>
          </w14:textFill>
        </w:rPr>
        <w:t>表5  20</w:t>
      </w:r>
      <w:r>
        <w:rPr>
          <w:rFonts w:hint="eastAsia"/>
          <w:b/>
          <w:bCs/>
          <w:lang w:eastAsia="zh-CN"/>
        </w:rPr>
        <w:t>17-2019 年毕业生资格证书获取情况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281"/>
        <w:gridCol w:w="1278"/>
        <w:gridCol w:w="1121"/>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Pr>
          <w:p>
            <w:pPr>
              <w:pStyle w:val="12"/>
              <w:spacing w:before="100" w:line="360" w:lineRule="auto"/>
              <w:ind w:right="15"/>
              <w:jc w:val="left"/>
              <w:rPr>
                <w:b/>
                <w:bCs/>
                <w:sz w:val="21"/>
                <w:szCs w:val="21"/>
              </w:rPr>
            </w:pPr>
            <w:r>
              <w:rPr>
                <w:rFonts w:hint="eastAsia"/>
                <w:b/>
                <w:sz w:val="21"/>
                <w:szCs w:val="21"/>
              </w:rPr>
              <w:t>序号</w:t>
            </w:r>
            <w:r>
              <w:rPr>
                <w:b/>
                <w:w w:val="99"/>
                <w:sz w:val="21"/>
                <w:szCs w:val="21"/>
              </w:rPr>
              <w:t xml:space="preserve"> </w:t>
            </w:r>
          </w:p>
        </w:tc>
        <w:tc>
          <w:tcPr>
            <w:tcW w:w="4281" w:type="dxa"/>
          </w:tcPr>
          <w:p>
            <w:pPr>
              <w:pStyle w:val="12"/>
              <w:spacing w:before="100" w:line="360" w:lineRule="auto"/>
              <w:ind w:left="661"/>
              <w:jc w:val="left"/>
              <w:rPr>
                <w:b/>
                <w:bCs/>
                <w:sz w:val="21"/>
                <w:szCs w:val="21"/>
                <w:lang w:eastAsia="zh-CN"/>
              </w:rPr>
            </w:pPr>
            <w:r>
              <w:rPr>
                <w:rFonts w:hint="eastAsia"/>
                <w:b/>
                <w:color w:val="111111"/>
                <w:sz w:val="21"/>
                <w:szCs w:val="21"/>
                <w:lang w:eastAsia="zh-CN"/>
              </w:rPr>
              <w:t>毕业生资格证书（类型）</w:t>
            </w:r>
            <w:r>
              <w:rPr>
                <w:b/>
                <w:color w:val="111111"/>
                <w:w w:val="99"/>
                <w:sz w:val="21"/>
                <w:szCs w:val="21"/>
                <w:lang w:eastAsia="zh-CN"/>
              </w:rPr>
              <w:t xml:space="preserve"> </w:t>
            </w:r>
          </w:p>
        </w:tc>
        <w:tc>
          <w:tcPr>
            <w:tcW w:w="1278" w:type="dxa"/>
          </w:tcPr>
          <w:p>
            <w:pPr>
              <w:pStyle w:val="12"/>
              <w:spacing w:before="100" w:line="360" w:lineRule="auto"/>
              <w:ind w:right="112"/>
              <w:rPr>
                <w:b/>
                <w:bCs/>
                <w:sz w:val="21"/>
                <w:szCs w:val="21"/>
              </w:rPr>
            </w:pPr>
            <w:r>
              <w:rPr>
                <w:b/>
                <w:color w:val="111111"/>
                <w:sz w:val="21"/>
                <w:szCs w:val="21"/>
              </w:rPr>
              <w:t>201</w:t>
            </w:r>
            <w:r>
              <w:rPr>
                <w:b/>
                <w:color w:val="111111"/>
                <w:sz w:val="21"/>
                <w:szCs w:val="21"/>
                <w:lang w:eastAsia="zh-CN"/>
              </w:rPr>
              <w:t>7</w:t>
            </w:r>
            <w:r>
              <w:rPr>
                <w:rFonts w:hint="eastAsia"/>
                <w:b/>
                <w:color w:val="111111"/>
                <w:sz w:val="21"/>
                <w:szCs w:val="21"/>
              </w:rPr>
              <w:t>年</w:t>
            </w:r>
          </w:p>
        </w:tc>
        <w:tc>
          <w:tcPr>
            <w:tcW w:w="1121" w:type="dxa"/>
          </w:tcPr>
          <w:p>
            <w:pPr>
              <w:pStyle w:val="12"/>
              <w:spacing w:before="100" w:line="360" w:lineRule="auto"/>
              <w:ind w:right="43"/>
              <w:rPr>
                <w:b/>
                <w:bCs/>
                <w:sz w:val="21"/>
                <w:szCs w:val="21"/>
              </w:rPr>
            </w:pPr>
            <w:r>
              <w:rPr>
                <w:b/>
                <w:color w:val="111111"/>
                <w:sz w:val="21"/>
                <w:szCs w:val="21"/>
              </w:rPr>
              <w:t>201</w:t>
            </w:r>
            <w:r>
              <w:rPr>
                <w:b/>
                <w:color w:val="111111"/>
                <w:sz w:val="21"/>
                <w:szCs w:val="21"/>
                <w:lang w:eastAsia="zh-CN"/>
              </w:rPr>
              <w:t>8</w:t>
            </w:r>
            <w:r>
              <w:rPr>
                <w:b/>
                <w:color w:val="111111"/>
                <w:sz w:val="21"/>
                <w:szCs w:val="21"/>
              </w:rPr>
              <w:t xml:space="preserve"> </w:t>
            </w:r>
            <w:r>
              <w:rPr>
                <w:rFonts w:hint="eastAsia"/>
                <w:b/>
                <w:color w:val="111111"/>
                <w:sz w:val="21"/>
                <w:szCs w:val="21"/>
              </w:rPr>
              <w:t>年</w:t>
            </w:r>
          </w:p>
        </w:tc>
        <w:tc>
          <w:tcPr>
            <w:tcW w:w="1123" w:type="dxa"/>
          </w:tcPr>
          <w:p>
            <w:pPr>
              <w:pStyle w:val="12"/>
              <w:spacing w:before="100" w:line="360" w:lineRule="auto"/>
              <w:ind w:right="-44"/>
              <w:rPr>
                <w:b/>
                <w:bCs/>
                <w:sz w:val="21"/>
                <w:szCs w:val="21"/>
              </w:rPr>
            </w:pPr>
            <w:r>
              <w:rPr>
                <w:b/>
                <w:color w:val="111111"/>
                <w:sz w:val="21"/>
                <w:szCs w:val="21"/>
              </w:rPr>
              <w:t>201</w:t>
            </w:r>
            <w:r>
              <w:rPr>
                <w:b/>
                <w:color w:val="111111"/>
                <w:spacing w:val="-36"/>
                <w:sz w:val="21"/>
                <w:szCs w:val="21"/>
                <w:lang w:eastAsia="zh-CN"/>
              </w:rPr>
              <w:t>9</w:t>
            </w:r>
            <w:r>
              <w:rPr>
                <w:rFonts w:hint="eastAsia"/>
                <w:b/>
                <w:color w:val="111111"/>
                <w:spacing w:val="-36"/>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pPr>
              <w:pStyle w:val="12"/>
              <w:spacing w:before="156" w:line="360" w:lineRule="auto"/>
              <w:ind w:left="153" w:right="15"/>
              <w:rPr>
                <w:b/>
                <w:bCs/>
                <w:sz w:val="21"/>
                <w:szCs w:val="21"/>
              </w:rPr>
            </w:pPr>
            <w:r>
              <w:rPr>
                <w:b/>
                <w:color w:val="111111"/>
                <w:sz w:val="21"/>
                <w:szCs w:val="21"/>
              </w:rPr>
              <w:t>1</w:t>
            </w:r>
          </w:p>
        </w:tc>
        <w:tc>
          <w:tcPr>
            <w:tcW w:w="4281" w:type="dxa"/>
          </w:tcPr>
          <w:p>
            <w:pPr>
              <w:pStyle w:val="12"/>
              <w:spacing w:before="0" w:line="360" w:lineRule="auto"/>
              <w:ind w:left="666" w:right="159" w:hanging="480"/>
              <w:jc w:val="left"/>
              <w:rPr>
                <w:b/>
                <w:bCs/>
                <w:sz w:val="21"/>
                <w:szCs w:val="21"/>
                <w:lang w:eastAsia="zh-CN"/>
              </w:rPr>
            </w:pPr>
            <w:r>
              <w:rPr>
                <w:rFonts w:hint="eastAsia"/>
                <w:color w:val="111111"/>
                <w:sz w:val="21"/>
                <w:szCs w:val="21"/>
                <w:lang w:eastAsia="zh-CN"/>
              </w:rPr>
              <w:t>国家颁发的与专业相关的职业资格证书获得数（中、高级）</w:t>
            </w:r>
            <w:r>
              <w:rPr>
                <w:color w:val="111111"/>
                <w:sz w:val="21"/>
                <w:szCs w:val="21"/>
                <w:lang w:eastAsia="zh-CN"/>
              </w:rPr>
              <w:t xml:space="preserve"> </w:t>
            </w:r>
          </w:p>
        </w:tc>
        <w:tc>
          <w:tcPr>
            <w:tcW w:w="1278" w:type="dxa"/>
            <w:vAlign w:val="center"/>
          </w:tcPr>
          <w:p>
            <w:pPr>
              <w:spacing w:line="360" w:lineRule="auto"/>
              <w:jc w:val="center"/>
              <w:rPr>
                <w:b/>
                <w:bCs/>
                <w:sz w:val="21"/>
                <w:szCs w:val="21"/>
              </w:rPr>
            </w:pPr>
            <w:r>
              <w:rPr>
                <w:sz w:val="21"/>
                <w:szCs w:val="21"/>
                <w:lang w:eastAsia="zh-CN"/>
              </w:rPr>
              <w:t>1458</w:t>
            </w:r>
          </w:p>
        </w:tc>
        <w:tc>
          <w:tcPr>
            <w:tcW w:w="1121" w:type="dxa"/>
            <w:vAlign w:val="center"/>
          </w:tcPr>
          <w:p>
            <w:pPr>
              <w:spacing w:line="360" w:lineRule="auto"/>
              <w:jc w:val="center"/>
              <w:rPr>
                <w:b/>
                <w:bCs/>
                <w:sz w:val="21"/>
                <w:szCs w:val="21"/>
              </w:rPr>
            </w:pPr>
            <w:r>
              <w:rPr>
                <w:sz w:val="21"/>
                <w:szCs w:val="21"/>
              </w:rPr>
              <w:t>619</w:t>
            </w:r>
          </w:p>
        </w:tc>
        <w:tc>
          <w:tcPr>
            <w:tcW w:w="1123" w:type="dxa"/>
            <w:vAlign w:val="center"/>
          </w:tcPr>
          <w:p>
            <w:pPr>
              <w:spacing w:line="360" w:lineRule="auto"/>
              <w:jc w:val="center"/>
              <w:rPr>
                <w:b/>
                <w:bCs/>
                <w:sz w:val="21"/>
                <w:szCs w:val="21"/>
              </w:rPr>
            </w:pPr>
            <w:r>
              <w:rPr>
                <w:sz w:val="21"/>
                <w:szCs w:val="21"/>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pPr>
              <w:pStyle w:val="12"/>
              <w:spacing w:before="155" w:line="360" w:lineRule="auto"/>
              <w:ind w:left="153" w:right="15"/>
              <w:rPr>
                <w:b/>
                <w:bCs/>
                <w:sz w:val="21"/>
                <w:szCs w:val="21"/>
              </w:rPr>
            </w:pPr>
            <w:r>
              <w:rPr>
                <w:b/>
                <w:color w:val="111111"/>
                <w:sz w:val="21"/>
                <w:szCs w:val="21"/>
              </w:rPr>
              <w:t>2</w:t>
            </w:r>
          </w:p>
        </w:tc>
        <w:tc>
          <w:tcPr>
            <w:tcW w:w="4281" w:type="dxa"/>
          </w:tcPr>
          <w:p>
            <w:pPr>
              <w:pStyle w:val="12"/>
              <w:spacing w:before="0" w:line="360" w:lineRule="auto"/>
              <w:ind w:left="166" w:right="141"/>
              <w:jc w:val="left"/>
              <w:rPr>
                <w:b/>
                <w:bCs/>
                <w:sz w:val="21"/>
                <w:szCs w:val="21"/>
                <w:lang w:eastAsia="zh-CN"/>
              </w:rPr>
            </w:pPr>
            <w:r>
              <w:rPr>
                <w:rFonts w:hint="eastAsia"/>
                <w:color w:val="111111"/>
                <w:sz w:val="21"/>
                <w:szCs w:val="21"/>
                <w:lang w:eastAsia="zh-CN"/>
              </w:rPr>
              <w:t>行业企业颁发的与专业相关的职业资格证书获得数</w:t>
            </w:r>
            <w:r>
              <w:rPr>
                <w:color w:val="111111"/>
                <w:sz w:val="21"/>
                <w:szCs w:val="21"/>
                <w:lang w:eastAsia="zh-CN"/>
              </w:rPr>
              <w:t xml:space="preserve"> </w:t>
            </w:r>
          </w:p>
        </w:tc>
        <w:tc>
          <w:tcPr>
            <w:tcW w:w="1278" w:type="dxa"/>
            <w:vAlign w:val="center"/>
          </w:tcPr>
          <w:p>
            <w:pPr>
              <w:spacing w:line="360" w:lineRule="auto"/>
              <w:jc w:val="center"/>
              <w:rPr>
                <w:b/>
                <w:bCs/>
                <w:sz w:val="21"/>
                <w:szCs w:val="21"/>
              </w:rPr>
            </w:pPr>
            <w:r>
              <w:rPr>
                <w:sz w:val="21"/>
                <w:szCs w:val="21"/>
                <w:lang w:eastAsia="zh-CN"/>
              </w:rPr>
              <w:t>1559</w:t>
            </w:r>
          </w:p>
        </w:tc>
        <w:tc>
          <w:tcPr>
            <w:tcW w:w="1121" w:type="dxa"/>
            <w:vAlign w:val="center"/>
          </w:tcPr>
          <w:p>
            <w:pPr>
              <w:spacing w:line="360" w:lineRule="auto"/>
              <w:jc w:val="center"/>
              <w:rPr>
                <w:b/>
                <w:bCs/>
                <w:sz w:val="21"/>
                <w:szCs w:val="21"/>
              </w:rPr>
            </w:pPr>
            <w:r>
              <w:rPr>
                <w:sz w:val="21"/>
                <w:szCs w:val="21"/>
              </w:rPr>
              <w:t>1940</w:t>
            </w:r>
          </w:p>
        </w:tc>
        <w:tc>
          <w:tcPr>
            <w:tcW w:w="1123" w:type="dxa"/>
            <w:vAlign w:val="center"/>
          </w:tcPr>
          <w:p>
            <w:pPr>
              <w:spacing w:line="360" w:lineRule="auto"/>
              <w:jc w:val="center"/>
              <w:rPr>
                <w:b/>
                <w:bCs/>
                <w:sz w:val="21"/>
                <w:szCs w:val="21"/>
              </w:rPr>
            </w:pPr>
            <w:r>
              <w:rPr>
                <w:sz w:val="21"/>
                <w:szCs w:val="21"/>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4" w:type="dxa"/>
            <w:gridSpan w:val="2"/>
          </w:tcPr>
          <w:p>
            <w:pPr>
              <w:pStyle w:val="12"/>
              <w:spacing w:before="98" w:line="360" w:lineRule="auto"/>
              <w:ind w:left="2144" w:right="2001"/>
              <w:jc w:val="left"/>
              <w:rPr>
                <w:b/>
                <w:bCs/>
                <w:sz w:val="21"/>
                <w:szCs w:val="21"/>
              </w:rPr>
            </w:pPr>
            <w:r>
              <w:rPr>
                <w:rFonts w:hint="eastAsia"/>
                <w:b/>
                <w:color w:val="111111"/>
                <w:sz w:val="21"/>
                <w:szCs w:val="21"/>
              </w:rPr>
              <w:t>合</w:t>
            </w:r>
            <w:r>
              <w:rPr>
                <w:b/>
                <w:color w:val="111111"/>
                <w:sz w:val="21"/>
                <w:szCs w:val="21"/>
                <w:lang w:eastAsia="zh-CN"/>
              </w:rPr>
              <w:t xml:space="preserve"> </w:t>
            </w:r>
            <w:r>
              <w:rPr>
                <w:rFonts w:hint="eastAsia"/>
                <w:b/>
                <w:color w:val="111111"/>
                <w:sz w:val="21"/>
                <w:szCs w:val="21"/>
              </w:rPr>
              <w:t>计</w:t>
            </w:r>
            <w:r>
              <w:rPr>
                <w:b/>
                <w:color w:val="111111"/>
                <w:w w:val="99"/>
                <w:sz w:val="21"/>
                <w:szCs w:val="21"/>
              </w:rPr>
              <w:t xml:space="preserve"> </w:t>
            </w:r>
          </w:p>
        </w:tc>
        <w:tc>
          <w:tcPr>
            <w:tcW w:w="1278" w:type="dxa"/>
            <w:vAlign w:val="center"/>
          </w:tcPr>
          <w:p>
            <w:pPr>
              <w:pStyle w:val="12"/>
              <w:spacing w:before="98" w:line="360" w:lineRule="auto"/>
              <w:ind w:right="110"/>
              <w:rPr>
                <w:b/>
                <w:bCs/>
                <w:sz w:val="21"/>
                <w:szCs w:val="21"/>
              </w:rPr>
            </w:pPr>
            <w:r>
              <w:rPr>
                <w:sz w:val="21"/>
                <w:szCs w:val="21"/>
                <w:lang w:eastAsia="zh-CN"/>
              </w:rPr>
              <w:t>3017</w:t>
            </w:r>
          </w:p>
        </w:tc>
        <w:tc>
          <w:tcPr>
            <w:tcW w:w="1121" w:type="dxa"/>
            <w:vAlign w:val="center"/>
          </w:tcPr>
          <w:p>
            <w:pPr>
              <w:pStyle w:val="12"/>
              <w:spacing w:before="98" w:line="360" w:lineRule="auto"/>
              <w:ind w:right="41"/>
              <w:rPr>
                <w:b/>
                <w:bCs/>
                <w:sz w:val="21"/>
                <w:szCs w:val="21"/>
              </w:rPr>
            </w:pPr>
            <w:r>
              <w:rPr>
                <w:sz w:val="21"/>
                <w:szCs w:val="21"/>
                <w:lang w:eastAsia="zh-CN"/>
              </w:rPr>
              <w:t>2559</w:t>
            </w:r>
          </w:p>
        </w:tc>
        <w:tc>
          <w:tcPr>
            <w:tcW w:w="1123" w:type="dxa"/>
            <w:vAlign w:val="center"/>
          </w:tcPr>
          <w:p>
            <w:pPr>
              <w:pStyle w:val="12"/>
              <w:spacing w:before="98" w:line="360" w:lineRule="auto"/>
              <w:ind w:left="152" w:right="7"/>
              <w:rPr>
                <w:b/>
                <w:bCs/>
                <w:sz w:val="21"/>
                <w:szCs w:val="21"/>
              </w:rPr>
            </w:pPr>
            <w:r>
              <w:rPr>
                <w:sz w:val="21"/>
                <w:szCs w:val="21"/>
                <w:lang w:eastAsia="zh-CN"/>
              </w:rPr>
              <w:t>1638</w:t>
            </w:r>
          </w:p>
        </w:tc>
      </w:tr>
    </w:tbl>
    <w:p>
      <w:pPr>
        <w:pStyle w:val="2"/>
        <w:spacing w:before="120" w:line="360" w:lineRule="auto"/>
        <w:ind w:left="0" w:firstLine="241" w:firstLineChars="100"/>
      </w:pPr>
      <w:bookmarkStart w:id="14" w:name="_TOC_250006"/>
      <w:r>
        <w:rPr>
          <w:rFonts w:hint="eastAsia"/>
        </w:rPr>
        <w:t>（二）直接就业率</w:t>
      </w:r>
      <w:bookmarkEnd w:id="14"/>
      <w:r>
        <w:rPr>
          <w:rFonts w:hint="eastAsia"/>
          <w:w w:val="99"/>
        </w:rPr>
        <w:t xml:space="preserve"> </w:t>
      </w:r>
    </w:p>
    <w:p>
      <w:pPr>
        <w:spacing w:line="360" w:lineRule="auto"/>
        <w:ind w:firstLine="456" w:firstLineChars="190"/>
        <w:rPr>
          <w:b/>
          <w:bCs/>
          <w:sz w:val="24"/>
          <w:szCs w:val="24"/>
          <w:lang w:eastAsia="zh-CN"/>
        </w:rPr>
      </w:pPr>
      <w:r>
        <w:rPr>
          <w:rFonts w:hint="eastAsia"/>
          <w:sz w:val="24"/>
          <w:szCs w:val="24"/>
          <w:lang w:eastAsia="zh-CN"/>
        </w:rPr>
        <w:t>学院就业率保持稳定，近三年直接就业率始终保持在90%以上，毕业生升学率持续上涨，学生自主创业意识逐渐增强，参与创新创业活动学生逐步增多。2017-2019年毕业生直接就业率情况详见表6。</w:t>
      </w:r>
      <w:r>
        <w:rPr>
          <w:rFonts w:hint="eastAsia"/>
          <w:color w:val="000000" w:themeColor="text1"/>
          <w:sz w:val="24"/>
          <w:szCs w:val="24"/>
          <w:lang w:eastAsia="zh-CN"/>
          <w14:textFill>
            <w14:solidFill>
              <w14:schemeClr w14:val="tx1"/>
            </w14:solidFill>
          </w14:textFill>
        </w:rPr>
        <w:t xml:space="preserve"> </w:t>
      </w:r>
    </w:p>
    <w:p>
      <w:pPr>
        <w:spacing w:line="360" w:lineRule="auto"/>
        <w:ind w:firstLine="2624" w:firstLineChars="1089"/>
        <w:jc w:val="both"/>
        <w:rPr>
          <w:b/>
          <w:bCs/>
          <w:sz w:val="24"/>
          <w:szCs w:val="24"/>
          <w:lang w:eastAsia="zh-CN"/>
        </w:rPr>
      </w:pPr>
      <w:r>
        <w:rPr>
          <w:rFonts w:hint="eastAsia"/>
          <w:b/>
          <w:bCs/>
          <w:sz w:val="24"/>
          <w:szCs w:val="24"/>
          <w:lang w:eastAsia="zh-CN"/>
        </w:rPr>
        <w:t>表6  2017-2019年毕业生就业情况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spacing w:line="360" w:lineRule="auto"/>
              <w:jc w:val="center"/>
              <w:textAlignment w:val="center"/>
              <w:rPr>
                <w:b/>
                <w:bCs/>
                <w:sz w:val="24"/>
                <w:szCs w:val="24"/>
              </w:rPr>
            </w:pPr>
            <w:r>
              <w:rPr>
                <w:rFonts w:hint="eastAsia"/>
                <w:b/>
                <w:bCs/>
                <w:color w:val="000000" w:themeColor="text1"/>
                <w:sz w:val="21"/>
                <w:szCs w:val="21"/>
                <w:lang w:bidi="ar"/>
                <w14:textFill>
                  <w14:solidFill>
                    <w14:schemeClr w14:val="tx1"/>
                  </w14:solidFill>
                </w14:textFill>
              </w:rPr>
              <w:t>年度</w:t>
            </w:r>
          </w:p>
        </w:tc>
        <w:tc>
          <w:tcPr>
            <w:tcW w:w="2129" w:type="dxa"/>
          </w:tcPr>
          <w:p>
            <w:pPr>
              <w:widowControl/>
              <w:spacing w:line="360" w:lineRule="auto"/>
              <w:jc w:val="center"/>
              <w:textAlignment w:val="center"/>
              <w:rPr>
                <w:b/>
                <w:bCs/>
                <w:sz w:val="24"/>
                <w:szCs w:val="24"/>
              </w:rPr>
            </w:pPr>
            <w:r>
              <w:rPr>
                <w:rFonts w:hint="eastAsia"/>
                <w:b/>
                <w:bCs/>
                <w:color w:val="000000" w:themeColor="text1"/>
                <w:sz w:val="21"/>
                <w:szCs w:val="21"/>
                <w:lang w:bidi="ar"/>
                <w14:textFill>
                  <w14:solidFill>
                    <w14:schemeClr w14:val="tx1"/>
                  </w14:solidFill>
                </w14:textFill>
              </w:rPr>
              <w:t>直接就业数（人）</w:t>
            </w:r>
          </w:p>
        </w:tc>
        <w:tc>
          <w:tcPr>
            <w:tcW w:w="2129" w:type="dxa"/>
          </w:tcPr>
          <w:p>
            <w:pPr>
              <w:widowControl/>
              <w:spacing w:line="360" w:lineRule="auto"/>
              <w:jc w:val="center"/>
              <w:textAlignment w:val="center"/>
              <w:rPr>
                <w:b/>
                <w:bCs/>
                <w:sz w:val="24"/>
                <w:szCs w:val="24"/>
              </w:rPr>
            </w:pPr>
            <w:r>
              <w:rPr>
                <w:rFonts w:hint="eastAsia"/>
                <w:b/>
                <w:bCs/>
                <w:color w:val="000000" w:themeColor="text1"/>
                <w:sz w:val="21"/>
                <w:szCs w:val="21"/>
                <w:lang w:bidi="ar"/>
                <w14:textFill>
                  <w14:solidFill>
                    <w14:schemeClr w14:val="tx1"/>
                  </w14:solidFill>
                </w14:textFill>
              </w:rPr>
              <w:t>毕业生总数（人）</w:t>
            </w:r>
          </w:p>
        </w:tc>
        <w:tc>
          <w:tcPr>
            <w:tcW w:w="2129" w:type="dxa"/>
          </w:tcPr>
          <w:p>
            <w:pPr>
              <w:widowControl/>
              <w:spacing w:line="360" w:lineRule="auto"/>
              <w:jc w:val="center"/>
              <w:textAlignment w:val="center"/>
              <w:rPr>
                <w:b/>
                <w:bCs/>
                <w:sz w:val="24"/>
                <w:szCs w:val="24"/>
              </w:rPr>
            </w:pPr>
            <w:r>
              <w:rPr>
                <w:rFonts w:hint="eastAsia"/>
                <w:b/>
                <w:bCs/>
                <w:color w:val="000000" w:themeColor="text1"/>
                <w:sz w:val="21"/>
                <w:szCs w:val="21"/>
                <w:lang w:bidi="ar"/>
                <w14:textFill>
                  <w14:solidFill>
                    <w14:schemeClr w14:val="tx1"/>
                  </w14:solidFill>
                </w14:textFill>
              </w:rPr>
              <w:t>直接就业率（%）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2017</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3296</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3566</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92.43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2018</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3640</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3970</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91.69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2019</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3465</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3805</w:t>
            </w:r>
          </w:p>
        </w:tc>
        <w:tc>
          <w:tcPr>
            <w:tcW w:w="2129" w:type="dxa"/>
            <w:vAlign w:val="center"/>
          </w:tcPr>
          <w:p>
            <w:pPr>
              <w:widowControl/>
              <w:spacing w:line="360" w:lineRule="auto"/>
              <w:jc w:val="center"/>
              <w:textAlignment w:val="center"/>
              <w:rPr>
                <w:b/>
                <w:bCs/>
                <w:sz w:val="24"/>
                <w:szCs w:val="24"/>
              </w:rPr>
            </w:pPr>
            <w:r>
              <w:rPr>
                <w:rFonts w:hint="eastAsia"/>
                <w:color w:val="000000" w:themeColor="text1"/>
                <w:sz w:val="21"/>
                <w:szCs w:val="21"/>
                <w:lang w:bidi="ar"/>
                <w14:textFill>
                  <w14:solidFill>
                    <w14:schemeClr w14:val="tx1"/>
                  </w14:solidFill>
                </w14:textFill>
              </w:rPr>
              <w:t>91.06</w:t>
            </w:r>
          </w:p>
        </w:tc>
      </w:tr>
    </w:tbl>
    <w:p>
      <w:pPr>
        <w:pStyle w:val="2"/>
        <w:spacing w:before="123" w:line="360" w:lineRule="auto"/>
        <w:ind w:left="0"/>
        <w:rPr>
          <w:lang w:eastAsia="zh-CN"/>
        </w:rPr>
      </w:pPr>
      <w:bookmarkStart w:id="15" w:name="_TOC_250005"/>
    </w:p>
    <w:p>
      <w:pPr>
        <w:pStyle w:val="2"/>
        <w:spacing w:before="123" w:line="360" w:lineRule="auto"/>
        <w:ind w:left="0" w:firstLine="482" w:firstLineChars="200"/>
        <w:rPr>
          <w:lang w:eastAsia="zh-CN"/>
        </w:rPr>
      </w:pPr>
      <w:r>
        <w:rPr>
          <w:rFonts w:hint="eastAsia"/>
          <w:lang w:eastAsia="zh-CN"/>
        </w:rPr>
        <w:t>（三）毕业生就业去向</w:t>
      </w:r>
      <w:bookmarkEnd w:id="15"/>
      <w:r>
        <w:rPr>
          <w:rFonts w:hint="eastAsia"/>
          <w:w w:val="99"/>
          <w:lang w:eastAsia="zh-CN"/>
        </w:rPr>
        <w:t xml:space="preserve"> </w:t>
      </w:r>
    </w:p>
    <w:p>
      <w:pPr>
        <w:pStyle w:val="3"/>
        <w:spacing w:before="160" w:line="360" w:lineRule="auto"/>
        <w:ind w:right="352"/>
        <w:rPr>
          <w:lang w:eastAsia="zh-CN"/>
        </w:rPr>
      </w:pPr>
      <w:r>
        <w:rPr>
          <w:rFonts w:hint="eastAsia"/>
          <w:lang w:eastAsia="zh-CN"/>
        </w:rPr>
        <w:t xml:space="preserve">   2017-2019年毕业生就业去向主要以四川为主，成都、乐山、眉山地区</w:t>
      </w:r>
    </w:p>
    <w:p>
      <w:pPr>
        <w:pStyle w:val="3"/>
        <w:spacing w:before="160" w:line="360" w:lineRule="auto"/>
        <w:ind w:left="0" w:right="352"/>
        <w:rPr>
          <w:rFonts w:hint="eastAsia"/>
          <w:lang w:eastAsia="zh-CN"/>
        </w:rPr>
      </w:pPr>
      <w:r>
        <w:rPr>
          <w:rFonts w:hint="eastAsia"/>
          <w:lang w:eastAsia="zh-CN"/>
        </w:rPr>
        <w:t xml:space="preserve">为主要就业区域，中小微企业基层服务比例始终保持在70%以上，近三年在500强企业就业比例平均为10.54%，详见表7。 </w:t>
      </w:r>
    </w:p>
    <w:p>
      <w:pPr>
        <w:pStyle w:val="3"/>
        <w:spacing w:before="160" w:line="360" w:lineRule="auto"/>
        <w:ind w:left="0" w:right="352"/>
        <w:rPr>
          <w:rFonts w:hint="eastAsia"/>
          <w:lang w:eastAsia="zh-CN"/>
        </w:rPr>
      </w:pPr>
    </w:p>
    <w:p>
      <w:pPr>
        <w:pStyle w:val="3"/>
        <w:spacing w:before="160" w:line="360" w:lineRule="auto"/>
        <w:ind w:left="0" w:right="352"/>
        <w:rPr>
          <w:rFonts w:hint="eastAsia"/>
          <w:lang w:eastAsia="zh-CN"/>
        </w:rPr>
      </w:pPr>
    </w:p>
    <w:p>
      <w:pPr>
        <w:pStyle w:val="3"/>
        <w:spacing w:line="360" w:lineRule="auto"/>
        <w:ind w:firstLine="2171" w:firstLineChars="1200"/>
        <w:jc w:val="both"/>
        <w:rPr>
          <w:b/>
          <w:bCs/>
          <w:spacing w:val="-8"/>
        </w:rPr>
      </w:pPr>
      <w:r>
        <w:rPr>
          <w:rFonts w:hint="eastAsia"/>
          <w:b/>
          <w:bCs/>
          <w:color w:val="000000" w:themeColor="text1"/>
          <w:spacing w:val="-30"/>
          <w14:textFill>
            <w14:solidFill>
              <w14:schemeClr w14:val="tx1"/>
            </w14:solidFill>
          </w14:textFill>
        </w:rPr>
        <w:t xml:space="preserve">表 </w:t>
      </w:r>
      <w:r>
        <w:rPr>
          <w:rFonts w:hint="eastAsia"/>
          <w:b/>
          <w:bCs/>
          <w:color w:val="000000" w:themeColor="text1"/>
          <w:lang w:eastAsia="zh-CN"/>
          <w14:textFill>
            <w14:solidFill>
              <w14:schemeClr w14:val="tx1"/>
            </w14:solidFill>
          </w14:textFill>
        </w:rPr>
        <w:t xml:space="preserve">7 </w:t>
      </w:r>
      <w:r>
        <w:rPr>
          <w:rFonts w:hint="eastAsia"/>
          <w:b/>
          <w:bCs/>
          <w:color w:val="000000" w:themeColor="text1"/>
          <w14:textFill>
            <w14:solidFill>
              <w14:schemeClr w14:val="tx1"/>
            </w14:solidFill>
          </w14:textFill>
        </w:rPr>
        <w:t xml:space="preserve"> 201</w:t>
      </w:r>
      <w:r>
        <w:rPr>
          <w:rFonts w:hint="eastAsia"/>
          <w:b/>
          <w:bCs/>
          <w:color w:val="000000" w:themeColor="text1"/>
          <w:lang w:eastAsia="zh-CN"/>
          <w14:textFill>
            <w14:solidFill>
              <w14:schemeClr w14:val="tx1"/>
            </w14:solidFill>
          </w14:textFill>
        </w:rPr>
        <w:t>7</w:t>
      </w:r>
      <w:r>
        <w:rPr>
          <w:rFonts w:hint="eastAsia"/>
          <w:b/>
          <w:bCs/>
          <w:color w:val="000000" w:themeColor="text1"/>
          <w14:textFill>
            <w14:solidFill>
              <w14:schemeClr w14:val="tx1"/>
            </w14:solidFill>
          </w14:textFill>
        </w:rPr>
        <w:t>-201</w:t>
      </w:r>
      <w:r>
        <w:rPr>
          <w:rFonts w:hint="eastAsia"/>
          <w:b/>
          <w:bCs/>
          <w:color w:val="000000" w:themeColor="text1"/>
          <w:lang w:eastAsia="zh-CN"/>
          <w14:textFill>
            <w14:solidFill>
              <w14:schemeClr w14:val="tx1"/>
            </w14:solidFill>
          </w14:textFill>
        </w:rPr>
        <w:t>9</w:t>
      </w:r>
      <w:r>
        <w:rPr>
          <w:rFonts w:hint="eastAsia"/>
          <w:b/>
          <w:bCs/>
          <w:color w:val="000000" w:themeColor="text1"/>
          <w:spacing w:val="-8"/>
          <w14:textFill>
            <w14:solidFill>
              <w14:schemeClr w14:val="tx1"/>
            </w14:solidFill>
          </w14:textFill>
        </w:rPr>
        <w:t>年毕业生就业去</w:t>
      </w:r>
      <w:r>
        <w:rPr>
          <w:rFonts w:hint="eastAsia"/>
          <w:b/>
          <w:bCs/>
          <w:spacing w:val="-8"/>
        </w:rPr>
        <w:t>向</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jc w:val="center"/>
              <w:rPr>
                <w:b/>
                <w:bCs/>
                <w:spacing w:val="-8"/>
                <w:sz w:val="21"/>
                <w:szCs w:val="21"/>
              </w:rPr>
            </w:pPr>
            <w:r>
              <w:rPr>
                <w:rFonts w:hint="eastAsia"/>
                <w:b/>
                <w:sz w:val="21"/>
                <w:szCs w:val="21"/>
              </w:rPr>
              <w:t>年度</w:t>
            </w:r>
          </w:p>
        </w:tc>
        <w:tc>
          <w:tcPr>
            <w:tcW w:w="1703" w:type="dxa"/>
            <w:vAlign w:val="center"/>
          </w:tcPr>
          <w:p>
            <w:pPr>
              <w:jc w:val="center"/>
              <w:rPr>
                <w:b/>
                <w:bCs/>
                <w:spacing w:val="-8"/>
                <w:sz w:val="21"/>
                <w:szCs w:val="21"/>
              </w:rPr>
            </w:pPr>
            <w:r>
              <w:rPr>
                <w:rFonts w:hint="eastAsia"/>
                <w:b/>
                <w:sz w:val="21"/>
                <w:szCs w:val="21"/>
              </w:rPr>
              <w:t>当地就业比例（%）</w:t>
            </w:r>
          </w:p>
        </w:tc>
        <w:tc>
          <w:tcPr>
            <w:tcW w:w="1703" w:type="dxa"/>
            <w:vAlign w:val="center"/>
          </w:tcPr>
          <w:p>
            <w:pPr>
              <w:jc w:val="center"/>
              <w:rPr>
                <w:b/>
                <w:bCs/>
                <w:spacing w:val="-8"/>
                <w:sz w:val="21"/>
                <w:szCs w:val="21"/>
                <w:lang w:eastAsia="zh-CN"/>
              </w:rPr>
            </w:pPr>
            <w:r>
              <w:rPr>
                <w:rFonts w:hint="eastAsia"/>
                <w:b/>
                <w:sz w:val="21"/>
                <w:szCs w:val="21"/>
                <w:lang w:eastAsia="zh-CN"/>
              </w:rPr>
              <w:t>中小微企业基层服务比例（%）</w:t>
            </w:r>
          </w:p>
        </w:tc>
        <w:tc>
          <w:tcPr>
            <w:tcW w:w="1703" w:type="dxa"/>
            <w:vAlign w:val="center"/>
          </w:tcPr>
          <w:p>
            <w:pPr>
              <w:jc w:val="center"/>
              <w:rPr>
                <w:b/>
                <w:bCs/>
                <w:sz w:val="21"/>
                <w:szCs w:val="21"/>
              </w:rPr>
            </w:pPr>
            <w:r>
              <w:rPr>
                <w:rFonts w:hint="eastAsia"/>
                <w:b/>
                <w:bCs/>
                <w:sz w:val="21"/>
                <w:szCs w:val="21"/>
              </w:rPr>
              <w:t>500强企业</w:t>
            </w:r>
          </w:p>
          <w:p>
            <w:pPr>
              <w:jc w:val="center"/>
              <w:rPr>
                <w:b/>
                <w:bCs/>
                <w:spacing w:val="-8"/>
                <w:sz w:val="21"/>
                <w:szCs w:val="21"/>
              </w:rPr>
            </w:pPr>
            <w:r>
              <w:rPr>
                <w:rFonts w:hint="eastAsia"/>
                <w:b/>
                <w:bCs/>
                <w:sz w:val="21"/>
                <w:szCs w:val="21"/>
              </w:rPr>
              <w:t>就业比例（%）</w:t>
            </w:r>
          </w:p>
        </w:tc>
        <w:tc>
          <w:tcPr>
            <w:tcW w:w="1704" w:type="dxa"/>
            <w:vAlign w:val="center"/>
          </w:tcPr>
          <w:p>
            <w:pPr>
              <w:jc w:val="center"/>
              <w:rPr>
                <w:b/>
                <w:bCs/>
                <w:spacing w:val="-8"/>
                <w:sz w:val="21"/>
                <w:szCs w:val="21"/>
              </w:rPr>
            </w:pPr>
            <w:r>
              <w:rPr>
                <w:rFonts w:hint="eastAsia"/>
                <w:b/>
                <w:bCs/>
                <w:sz w:val="21"/>
                <w:szCs w:val="21"/>
              </w:rPr>
              <w:t>专业相关度（%）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jc w:val="center"/>
              <w:rPr>
                <w:b/>
                <w:bCs/>
                <w:spacing w:val="-8"/>
                <w:sz w:val="21"/>
                <w:szCs w:val="21"/>
              </w:rPr>
            </w:pPr>
            <w:r>
              <w:rPr>
                <w:rFonts w:hint="eastAsia"/>
                <w:b/>
                <w:sz w:val="21"/>
                <w:szCs w:val="21"/>
              </w:rPr>
              <w:t>2017</w:t>
            </w:r>
          </w:p>
        </w:tc>
        <w:tc>
          <w:tcPr>
            <w:tcW w:w="1703" w:type="dxa"/>
            <w:vAlign w:val="center"/>
          </w:tcPr>
          <w:p>
            <w:pPr>
              <w:jc w:val="center"/>
              <w:rPr>
                <w:b/>
                <w:bCs/>
                <w:spacing w:val="-8"/>
                <w:sz w:val="21"/>
                <w:szCs w:val="21"/>
              </w:rPr>
            </w:pPr>
            <w:r>
              <w:rPr>
                <w:rFonts w:hint="eastAsia"/>
                <w:sz w:val="21"/>
                <w:szCs w:val="21"/>
              </w:rPr>
              <w:t>27.64</w:t>
            </w:r>
          </w:p>
        </w:tc>
        <w:tc>
          <w:tcPr>
            <w:tcW w:w="1703" w:type="dxa"/>
            <w:vAlign w:val="center"/>
          </w:tcPr>
          <w:p>
            <w:pPr>
              <w:jc w:val="center"/>
              <w:rPr>
                <w:b/>
                <w:bCs/>
                <w:spacing w:val="-8"/>
                <w:sz w:val="21"/>
                <w:szCs w:val="21"/>
              </w:rPr>
            </w:pPr>
            <w:r>
              <w:rPr>
                <w:rFonts w:hint="eastAsia"/>
                <w:sz w:val="21"/>
                <w:szCs w:val="21"/>
              </w:rPr>
              <w:t>89.68</w:t>
            </w:r>
          </w:p>
        </w:tc>
        <w:tc>
          <w:tcPr>
            <w:tcW w:w="1703" w:type="dxa"/>
            <w:vAlign w:val="center"/>
          </w:tcPr>
          <w:p>
            <w:pPr>
              <w:jc w:val="center"/>
              <w:rPr>
                <w:b/>
                <w:bCs/>
                <w:spacing w:val="-8"/>
                <w:sz w:val="21"/>
                <w:szCs w:val="21"/>
              </w:rPr>
            </w:pPr>
            <w:r>
              <w:rPr>
                <w:rFonts w:hint="eastAsia"/>
                <w:sz w:val="21"/>
                <w:szCs w:val="21"/>
              </w:rPr>
              <w:t>14.59</w:t>
            </w:r>
          </w:p>
        </w:tc>
        <w:tc>
          <w:tcPr>
            <w:tcW w:w="1704" w:type="dxa"/>
            <w:vAlign w:val="center"/>
          </w:tcPr>
          <w:p>
            <w:pPr>
              <w:jc w:val="center"/>
              <w:rPr>
                <w:b/>
                <w:bCs/>
                <w:spacing w:val="-8"/>
                <w:sz w:val="21"/>
                <w:szCs w:val="21"/>
              </w:rPr>
            </w:pPr>
            <w:r>
              <w:rPr>
                <w:rFonts w:hint="eastAsia"/>
                <w:sz w:val="21"/>
                <w:szCs w:val="21"/>
              </w:rPr>
              <w:t>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jc w:val="center"/>
              <w:rPr>
                <w:b/>
                <w:bCs/>
                <w:spacing w:val="-8"/>
                <w:sz w:val="21"/>
                <w:szCs w:val="21"/>
              </w:rPr>
            </w:pPr>
            <w:r>
              <w:rPr>
                <w:rFonts w:hint="eastAsia"/>
                <w:b/>
                <w:sz w:val="21"/>
                <w:szCs w:val="21"/>
              </w:rPr>
              <w:t>2018</w:t>
            </w:r>
          </w:p>
        </w:tc>
        <w:tc>
          <w:tcPr>
            <w:tcW w:w="1703" w:type="dxa"/>
            <w:vAlign w:val="center"/>
          </w:tcPr>
          <w:p>
            <w:pPr>
              <w:jc w:val="center"/>
              <w:rPr>
                <w:b/>
                <w:bCs/>
                <w:spacing w:val="-8"/>
                <w:sz w:val="21"/>
                <w:szCs w:val="21"/>
              </w:rPr>
            </w:pPr>
            <w:r>
              <w:rPr>
                <w:rFonts w:hint="eastAsia"/>
                <w:sz w:val="21"/>
                <w:szCs w:val="21"/>
              </w:rPr>
              <w:t>21.09</w:t>
            </w:r>
          </w:p>
        </w:tc>
        <w:tc>
          <w:tcPr>
            <w:tcW w:w="1703" w:type="dxa"/>
            <w:vAlign w:val="center"/>
          </w:tcPr>
          <w:p>
            <w:pPr>
              <w:jc w:val="center"/>
              <w:rPr>
                <w:b/>
                <w:bCs/>
                <w:spacing w:val="-8"/>
                <w:sz w:val="21"/>
                <w:szCs w:val="21"/>
              </w:rPr>
            </w:pPr>
            <w:r>
              <w:rPr>
                <w:rFonts w:hint="eastAsia"/>
                <w:sz w:val="21"/>
                <w:szCs w:val="21"/>
              </w:rPr>
              <w:t>84.23</w:t>
            </w:r>
          </w:p>
        </w:tc>
        <w:tc>
          <w:tcPr>
            <w:tcW w:w="1703" w:type="dxa"/>
            <w:vAlign w:val="center"/>
          </w:tcPr>
          <w:p>
            <w:pPr>
              <w:jc w:val="center"/>
              <w:rPr>
                <w:b/>
                <w:bCs/>
                <w:spacing w:val="-8"/>
                <w:sz w:val="21"/>
                <w:szCs w:val="21"/>
              </w:rPr>
            </w:pPr>
            <w:r>
              <w:rPr>
                <w:rFonts w:hint="eastAsia"/>
                <w:sz w:val="21"/>
                <w:szCs w:val="21"/>
              </w:rPr>
              <w:t>2.88</w:t>
            </w:r>
          </w:p>
        </w:tc>
        <w:tc>
          <w:tcPr>
            <w:tcW w:w="1704" w:type="dxa"/>
            <w:vAlign w:val="center"/>
          </w:tcPr>
          <w:p>
            <w:pPr>
              <w:jc w:val="center"/>
              <w:rPr>
                <w:b/>
                <w:bCs/>
                <w:spacing w:val="-8"/>
                <w:sz w:val="21"/>
                <w:szCs w:val="21"/>
              </w:rPr>
            </w:pPr>
            <w:r>
              <w:rPr>
                <w:rFonts w:hint="eastAsia"/>
                <w:sz w:val="21"/>
                <w:szCs w:val="21"/>
              </w:rPr>
              <w:t>65.29%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jc w:val="center"/>
              <w:rPr>
                <w:b/>
                <w:bCs/>
                <w:spacing w:val="-8"/>
                <w:sz w:val="21"/>
                <w:szCs w:val="21"/>
              </w:rPr>
            </w:pPr>
            <w:r>
              <w:rPr>
                <w:rFonts w:hint="eastAsia"/>
                <w:b/>
                <w:sz w:val="21"/>
                <w:szCs w:val="21"/>
              </w:rPr>
              <w:t>2019</w:t>
            </w:r>
          </w:p>
        </w:tc>
        <w:tc>
          <w:tcPr>
            <w:tcW w:w="1703" w:type="dxa"/>
            <w:vAlign w:val="center"/>
          </w:tcPr>
          <w:p>
            <w:pPr>
              <w:jc w:val="center"/>
              <w:rPr>
                <w:b/>
                <w:bCs/>
                <w:spacing w:val="-8"/>
                <w:sz w:val="21"/>
                <w:szCs w:val="21"/>
              </w:rPr>
            </w:pPr>
            <w:r>
              <w:rPr>
                <w:rFonts w:hint="eastAsia"/>
                <w:sz w:val="21"/>
                <w:szCs w:val="21"/>
              </w:rPr>
              <w:t>21.93</w:t>
            </w:r>
          </w:p>
        </w:tc>
        <w:tc>
          <w:tcPr>
            <w:tcW w:w="1703" w:type="dxa"/>
            <w:vAlign w:val="center"/>
          </w:tcPr>
          <w:p>
            <w:pPr>
              <w:jc w:val="center"/>
              <w:rPr>
                <w:b/>
                <w:bCs/>
                <w:spacing w:val="-8"/>
                <w:sz w:val="21"/>
                <w:szCs w:val="21"/>
              </w:rPr>
            </w:pPr>
            <w:r>
              <w:rPr>
                <w:rFonts w:hint="eastAsia"/>
                <w:sz w:val="21"/>
                <w:szCs w:val="21"/>
              </w:rPr>
              <w:t>73.58</w:t>
            </w:r>
          </w:p>
        </w:tc>
        <w:tc>
          <w:tcPr>
            <w:tcW w:w="1703" w:type="dxa"/>
            <w:vAlign w:val="center"/>
          </w:tcPr>
          <w:p>
            <w:pPr>
              <w:jc w:val="center"/>
              <w:rPr>
                <w:b/>
                <w:bCs/>
                <w:spacing w:val="-8"/>
                <w:sz w:val="21"/>
                <w:szCs w:val="21"/>
              </w:rPr>
            </w:pPr>
            <w:r>
              <w:rPr>
                <w:rFonts w:hint="eastAsia"/>
                <w:sz w:val="21"/>
                <w:szCs w:val="21"/>
              </w:rPr>
              <w:t>14.15</w:t>
            </w:r>
          </w:p>
        </w:tc>
        <w:tc>
          <w:tcPr>
            <w:tcW w:w="1704" w:type="dxa"/>
            <w:vAlign w:val="center"/>
          </w:tcPr>
          <w:p>
            <w:pPr>
              <w:jc w:val="center"/>
              <w:rPr>
                <w:b/>
                <w:bCs/>
                <w:spacing w:val="-8"/>
                <w:sz w:val="21"/>
                <w:szCs w:val="21"/>
              </w:rPr>
            </w:pPr>
            <w:r>
              <w:rPr>
                <w:rFonts w:hint="eastAsia"/>
                <w:sz w:val="21"/>
                <w:szCs w:val="21"/>
              </w:rPr>
              <w:t>73.06%</w:t>
            </w:r>
          </w:p>
        </w:tc>
      </w:tr>
    </w:tbl>
    <w:p>
      <w:pPr>
        <w:pStyle w:val="2"/>
        <w:spacing w:before="122" w:line="360" w:lineRule="auto"/>
        <w:ind w:left="0" w:firstLine="562" w:firstLineChars="200"/>
        <w:rPr>
          <w:sz w:val="28"/>
          <w:szCs w:val="28"/>
        </w:rPr>
      </w:pPr>
      <w:bookmarkStart w:id="16" w:name="_TOC_250004"/>
      <w:r>
        <w:rPr>
          <w:rFonts w:hint="eastAsia"/>
          <w:sz w:val="28"/>
          <w:szCs w:val="28"/>
        </w:rPr>
        <w:t>五、社会服务能力</w:t>
      </w:r>
      <w:bookmarkEnd w:id="16"/>
      <w:r>
        <w:rPr>
          <w:rFonts w:hint="eastAsia"/>
          <w:w w:val="99"/>
          <w:sz w:val="28"/>
          <w:szCs w:val="28"/>
        </w:rPr>
        <w:t xml:space="preserve"> </w:t>
      </w:r>
    </w:p>
    <w:p>
      <w:pPr>
        <w:pStyle w:val="2"/>
        <w:spacing w:before="158" w:line="360" w:lineRule="auto"/>
        <w:ind w:left="0" w:firstLine="482" w:firstLineChars="200"/>
        <w:rPr>
          <w:lang w:eastAsia="zh-CN"/>
        </w:rPr>
      </w:pPr>
      <w:bookmarkStart w:id="17" w:name="_TOC_250003"/>
      <w:r>
        <w:rPr>
          <w:rFonts w:hint="eastAsia"/>
          <w:lang w:eastAsia="zh-CN"/>
        </w:rPr>
        <w:t>（一）政府购买服务到款额</w:t>
      </w:r>
      <w:bookmarkEnd w:id="17"/>
      <w:r>
        <w:rPr>
          <w:rFonts w:hint="eastAsia"/>
          <w:w w:val="99"/>
          <w:lang w:eastAsia="zh-CN"/>
        </w:rPr>
        <w:t xml:space="preserve"> </w:t>
      </w:r>
    </w:p>
    <w:p>
      <w:pPr>
        <w:pStyle w:val="3"/>
        <w:spacing w:before="161" w:line="360" w:lineRule="auto"/>
        <w:ind w:right="352" w:firstLine="464" w:firstLineChars="200"/>
        <w:rPr>
          <w:spacing w:val="-4"/>
          <w:lang w:eastAsia="zh-CN"/>
        </w:rPr>
      </w:pPr>
      <w:r>
        <w:rPr>
          <w:rFonts w:hint="eastAsia"/>
          <w:spacing w:val="-4"/>
          <w:lang w:eastAsia="zh-CN"/>
        </w:rPr>
        <w:t>学院紧扣区域产业结构调整与升级需求，充分利用学院专业优势和教育资源，积极加强与政府各部门的沟通，承接政府购买服务项目。近三年，学院先后积极开展基层党员干部培训、政府会计准则制度培训、外向型经济发展人才培训、海外华裔青少年“寻根之旅”培训、高中新课标与教学改进培训、职工技能提升培训、技师（高级技师）培训、中/高级劳务品牌培训、农村劳动力转移培训、新型职业农民培训、大学生创业培训、茶艺师技能培训等，共计培训9105人，共计金额839.02万元，学院获得的政府购买服务到款额情况详见表8。</w:t>
      </w:r>
      <w:r>
        <w:rPr>
          <w:rFonts w:hint="eastAsia"/>
          <w:lang w:eastAsia="zh-CN"/>
        </w:rPr>
        <w:t xml:space="preserve"> </w:t>
      </w:r>
    </w:p>
    <w:p>
      <w:pPr>
        <w:pStyle w:val="3"/>
        <w:spacing w:line="360" w:lineRule="auto"/>
        <w:jc w:val="center"/>
        <w:rPr>
          <w:b/>
          <w:bCs/>
          <w:lang w:eastAsia="zh-CN"/>
        </w:rPr>
      </w:pPr>
      <w:r>
        <w:rPr>
          <w:rFonts w:hint="eastAsia"/>
          <w:b/>
          <w:bCs/>
          <w:lang w:eastAsia="zh-CN"/>
        </w:rPr>
        <w:t>表8  2017-2019年度政府购买服务到款额 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p>
        </w:tc>
        <w:tc>
          <w:tcPr>
            <w:tcW w:w="2129" w:type="dxa"/>
            <w:vAlign w:val="center"/>
          </w:tcPr>
          <w:p>
            <w:pPr>
              <w:spacing w:line="360" w:lineRule="auto"/>
              <w:ind w:firstLine="211" w:firstLineChars="100"/>
              <w:jc w:val="center"/>
              <w:rPr>
                <w:b/>
                <w:bCs/>
                <w:sz w:val="21"/>
                <w:szCs w:val="21"/>
                <w:lang w:eastAsia="zh-CN"/>
              </w:rPr>
            </w:pPr>
            <w:r>
              <w:rPr>
                <w:b/>
                <w:bCs/>
                <w:color w:val="000000"/>
                <w:sz w:val="21"/>
                <w:szCs w:val="21"/>
                <w:lang w:eastAsia="zh-CN"/>
              </w:rPr>
              <w:t>2017</w:t>
            </w:r>
            <w:r>
              <w:rPr>
                <w:rFonts w:hint="eastAsia"/>
                <w:b/>
                <w:bCs/>
                <w:color w:val="000000"/>
                <w:sz w:val="21"/>
                <w:szCs w:val="21"/>
                <w:lang w:eastAsia="zh-CN"/>
              </w:rPr>
              <w:t>年度</w:t>
            </w:r>
          </w:p>
        </w:tc>
        <w:tc>
          <w:tcPr>
            <w:tcW w:w="2129" w:type="dxa"/>
            <w:vAlign w:val="center"/>
          </w:tcPr>
          <w:p>
            <w:pPr>
              <w:spacing w:line="360" w:lineRule="auto"/>
              <w:ind w:firstLine="211" w:firstLineChars="100"/>
              <w:jc w:val="center"/>
              <w:rPr>
                <w:b/>
                <w:bCs/>
                <w:sz w:val="21"/>
                <w:szCs w:val="21"/>
                <w:lang w:eastAsia="zh-CN"/>
              </w:rPr>
            </w:pPr>
            <w:r>
              <w:rPr>
                <w:b/>
                <w:bCs/>
                <w:color w:val="000000"/>
                <w:sz w:val="21"/>
                <w:szCs w:val="21"/>
                <w:lang w:eastAsia="zh-CN"/>
              </w:rPr>
              <w:t>2018</w:t>
            </w:r>
            <w:r>
              <w:rPr>
                <w:rFonts w:hint="eastAsia"/>
                <w:b/>
                <w:bCs/>
                <w:color w:val="000000"/>
                <w:sz w:val="21"/>
                <w:szCs w:val="21"/>
                <w:lang w:eastAsia="zh-CN"/>
              </w:rPr>
              <w:t>年度</w:t>
            </w:r>
          </w:p>
        </w:tc>
        <w:tc>
          <w:tcPr>
            <w:tcW w:w="2129" w:type="dxa"/>
            <w:vAlign w:val="center"/>
          </w:tcPr>
          <w:p>
            <w:pPr>
              <w:spacing w:line="360" w:lineRule="auto"/>
              <w:ind w:firstLine="422" w:firstLineChars="200"/>
              <w:jc w:val="center"/>
              <w:rPr>
                <w:b/>
                <w:bCs/>
                <w:sz w:val="21"/>
                <w:szCs w:val="21"/>
                <w:lang w:eastAsia="zh-CN"/>
              </w:rPr>
            </w:pPr>
            <w:r>
              <w:rPr>
                <w:b/>
                <w:bCs/>
                <w:color w:val="000000"/>
                <w:sz w:val="21"/>
                <w:szCs w:val="21"/>
                <w:lang w:eastAsia="zh-CN"/>
              </w:rPr>
              <w:t>2019</w:t>
            </w:r>
            <w:r>
              <w:rPr>
                <w:rFonts w:hint="eastAsia"/>
                <w:b/>
                <w:bCs/>
                <w:color w:val="000000"/>
                <w:sz w:val="21"/>
                <w:szCs w:val="21"/>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r>
              <w:rPr>
                <w:rFonts w:hint="eastAsia"/>
                <w:b/>
                <w:bCs/>
                <w:sz w:val="21"/>
                <w:szCs w:val="21"/>
              </w:rPr>
              <w:t>扶贫专项</w:t>
            </w:r>
          </w:p>
        </w:tc>
        <w:tc>
          <w:tcPr>
            <w:tcW w:w="2129" w:type="dxa"/>
            <w:vAlign w:val="center"/>
          </w:tcPr>
          <w:p>
            <w:pPr>
              <w:spacing w:line="360" w:lineRule="auto"/>
              <w:jc w:val="center"/>
              <w:rPr>
                <w:sz w:val="21"/>
                <w:szCs w:val="21"/>
                <w:lang w:eastAsia="zh-CN"/>
              </w:rPr>
            </w:pPr>
            <w:r>
              <w:rPr>
                <w:rFonts w:hint="eastAsia"/>
                <w:sz w:val="21"/>
                <w:szCs w:val="21"/>
                <w:lang w:eastAsia="zh-CN"/>
              </w:rPr>
              <w:t>1433.76</w:t>
            </w:r>
          </w:p>
        </w:tc>
        <w:tc>
          <w:tcPr>
            <w:tcW w:w="2129" w:type="dxa"/>
            <w:vAlign w:val="center"/>
          </w:tcPr>
          <w:p>
            <w:pPr>
              <w:spacing w:line="360" w:lineRule="auto"/>
              <w:jc w:val="center"/>
              <w:rPr>
                <w:sz w:val="21"/>
                <w:szCs w:val="21"/>
                <w:lang w:eastAsia="zh-CN"/>
              </w:rPr>
            </w:pPr>
            <w:r>
              <w:rPr>
                <w:rFonts w:hint="eastAsia"/>
                <w:sz w:val="21"/>
                <w:szCs w:val="21"/>
                <w:lang w:eastAsia="zh-CN"/>
              </w:rPr>
              <w:t>1476.58</w:t>
            </w:r>
          </w:p>
        </w:tc>
        <w:tc>
          <w:tcPr>
            <w:tcW w:w="2129" w:type="dxa"/>
            <w:vAlign w:val="center"/>
          </w:tcPr>
          <w:p>
            <w:pPr>
              <w:spacing w:line="360" w:lineRule="auto"/>
              <w:jc w:val="center"/>
              <w:rPr>
                <w:sz w:val="21"/>
                <w:szCs w:val="21"/>
                <w:lang w:eastAsia="zh-CN"/>
              </w:rPr>
            </w:pPr>
            <w:r>
              <w:rPr>
                <w:rFonts w:hint="eastAsia"/>
                <w:sz w:val="21"/>
                <w:szCs w:val="21"/>
                <w:lang w:eastAsia="zh-CN"/>
              </w:rPr>
              <w:t>1905.48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r>
              <w:rPr>
                <w:rFonts w:hint="eastAsia"/>
                <w:b/>
                <w:bCs/>
                <w:sz w:val="21"/>
                <w:szCs w:val="21"/>
              </w:rPr>
              <w:t>社会人员培训</w:t>
            </w:r>
          </w:p>
        </w:tc>
        <w:tc>
          <w:tcPr>
            <w:tcW w:w="2129" w:type="dxa"/>
            <w:vAlign w:val="center"/>
          </w:tcPr>
          <w:p>
            <w:pPr>
              <w:spacing w:line="360" w:lineRule="auto"/>
              <w:jc w:val="center"/>
              <w:rPr>
                <w:b/>
                <w:bCs/>
                <w:sz w:val="21"/>
                <w:szCs w:val="21"/>
                <w:lang w:eastAsia="zh-CN"/>
              </w:rPr>
            </w:pPr>
            <w:r>
              <w:rPr>
                <w:color w:val="000000"/>
                <w:sz w:val="21"/>
                <w:szCs w:val="21"/>
              </w:rPr>
              <w:t>438.96</w:t>
            </w:r>
          </w:p>
        </w:tc>
        <w:tc>
          <w:tcPr>
            <w:tcW w:w="2129" w:type="dxa"/>
            <w:vAlign w:val="center"/>
          </w:tcPr>
          <w:p>
            <w:pPr>
              <w:spacing w:line="360" w:lineRule="auto"/>
              <w:jc w:val="center"/>
              <w:rPr>
                <w:b/>
                <w:bCs/>
                <w:sz w:val="21"/>
                <w:szCs w:val="21"/>
                <w:lang w:eastAsia="zh-CN"/>
              </w:rPr>
            </w:pPr>
            <w:r>
              <w:rPr>
                <w:color w:val="000000"/>
                <w:sz w:val="21"/>
                <w:szCs w:val="21"/>
                <w:lang w:eastAsia="zh-CN"/>
              </w:rPr>
              <w:t>193.37</w:t>
            </w:r>
          </w:p>
        </w:tc>
        <w:tc>
          <w:tcPr>
            <w:tcW w:w="2129" w:type="dxa"/>
            <w:vAlign w:val="center"/>
          </w:tcPr>
          <w:p>
            <w:pPr>
              <w:spacing w:line="360" w:lineRule="auto"/>
              <w:jc w:val="center"/>
              <w:rPr>
                <w:b/>
                <w:bCs/>
                <w:sz w:val="21"/>
                <w:szCs w:val="21"/>
                <w:lang w:eastAsia="zh-CN"/>
              </w:rPr>
            </w:pPr>
            <w:r>
              <w:rPr>
                <w:color w:val="000000"/>
                <w:sz w:val="21"/>
                <w:szCs w:val="21"/>
                <w:lang w:eastAsia="zh-CN"/>
              </w:rPr>
              <w:t>206.69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r>
              <w:rPr>
                <w:rFonts w:hint="eastAsia"/>
                <w:b/>
                <w:bCs/>
                <w:sz w:val="21"/>
                <w:szCs w:val="21"/>
              </w:rPr>
              <w:t>社区服务</w:t>
            </w:r>
          </w:p>
        </w:tc>
        <w:tc>
          <w:tcPr>
            <w:tcW w:w="2129" w:type="dxa"/>
            <w:vAlign w:val="center"/>
          </w:tcPr>
          <w:p>
            <w:pPr>
              <w:spacing w:line="360" w:lineRule="auto"/>
              <w:jc w:val="center"/>
              <w:rPr>
                <w:b/>
                <w:bCs/>
                <w:sz w:val="21"/>
                <w:szCs w:val="21"/>
                <w:lang w:eastAsia="zh-CN"/>
              </w:rPr>
            </w:pPr>
            <w:r>
              <w:rPr>
                <w:color w:val="000000"/>
                <w:sz w:val="21"/>
                <w:szCs w:val="21"/>
                <w:lang w:eastAsia="zh-CN"/>
              </w:rPr>
              <w:t>0</w:t>
            </w:r>
          </w:p>
        </w:tc>
        <w:tc>
          <w:tcPr>
            <w:tcW w:w="2129" w:type="dxa"/>
            <w:vAlign w:val="center"/>
          </w:tcPr>
          <w:p>
            <w:pPr>
              <w:spacing w:line="360" w:lineRule="auto"/>
              <w:jc w:val="center"/>
              <w:rPr>
                <w:b/>
                <w:bCs/>
                <w:sz w:val="21"/>
                <w:szCs w:val="21"/>
                <w:lang w:eastAsia="zh-CN"/>
              </w:rPr>
            </w:pPr>
            <w:r>
              <w:rPr>
                <w:color w:val="000000"/>
                <w:sz w:val="21"/>
                <w:szCs w:val="21"/>
                <w:lang w:eastAsia="zh-CN"/>
              </w:rPr>
              <w:t>0</w:t>
            </w:r>
          </w:p>
        </w:tc>
        <w:tc>
          <w:tcPr>
            <w:tcW w:w="2129" w:type="dxa"/>
            <w:vAlign w:val="center"/>
          </w:tcPr>
          <w:p>
            <w:pPr>
              <w:spacing w:line="360" w:lineRule="auto"/>
              <w:jc w:val="center"/>
              <w:rPr>
                <w:b/>
                <w:bCs/>
                <w:sz w:val="21"/>
                <w:szCs w:val="21"/>
                <w:lang w:eastAsia="zh-CN"/>
              </w:rPr>
            </w:pPr>
            <w:r>
              <w:rPr>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r>
              <w:rPr>
                <w:rFonts w:hint="eastAsia"/>
                <w:b/>
                <w:bCs/>
                <w:sz w:val="21"/>
                <w:szCs w:val="21"/>
              </w:rPr>
              <w:t>技术交易</w:t>
            </w:r>
          </w:p>
        </w:tc>
        <w:tc>
          <w:tcPr>
            <w:tcW w:w="2129" w:type="dxa"/>
            <w:vAlign w:val="center"/>
          </w:tcPr>
          <w:p>
            <w:pPr>
              <w:spacing w:line="360" w:lineRule="auto"/>
              <w:jc w:val="center"/>
              <w:rPr>
                <w:b/>
                <w:bCs/>
                <w:sz w:val="21"/>
                <w:szCs w:val="21"/>
                <w:lang w:eastAsia="zh-CN"/>
              </w:rPr>
            </w:pPr>
            <w:r>
              <w:rPr>
                <w:rFonts w:hint="eastAsia"/>
                <w:color w:val="000000"/>
                <w:sz w:val="21"/>
                <w:szCs w:val="21"/>
                <w:lang w:eastAsia="zh-CN"/>
              </w:rPr>
              <w:t>10.9</w:t>
            </w:r>
          </w:p>
        </w:tc>
        <w:tc>
          <w:tcPr>
            <w:tcW w:w="2129" w:type="dxa"/>
            <w:vAlign w:val="center"/>
          </w:tcPr>
          <w:p>
            <w:pPr>
              <w:spacing w:line="360" w:lineRule="auto"/>
              <w:jc w:val="center"/>
              <w:rPr>
                <w:b/>
                <w:bCs/>
                <w:sz w:val="21"/>
                <w:szCs w:val="21"/>
                <w:lang w:eastAsia="zh-CN"/>
              </w:rPr>
            </w:pPr>
            <w:r>
              <w:rPr>
                <w:color w:val="000000"/>
                <w:sz w:val="21"/>
                <w:szCs w:val="21"/>
                <w:lang w:eastAsia="zh-CN"/>
              </w:rPr>
              <w:t>0</w:t>
            </w:r>
          </w:p>
        </w:tc>
        <w:tc>
          <w:tcPr>
            <w:tcW w:w="2129" w:type="dxa"/>
            <w:vAlign w:val="center"/>
          </w:tcPr>
          <w:p>
            <w:pPr>
              <w:spacing w:line="360" w:lineRule="auto"/>
              <w:jc w:val="center"/>
              <w:rPr>
                <w:b/>
                <w:bCs/>
                <w:sz w:val="21"/>
                <w:szCs w:val="21"/>
                <w:lang w:eastAsia="zh-CN"/>
              </w:rPr>
            </w:pPr>
            <w:r>
              <w:rPr>
                <w:color w:val="000000"/>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spacing w:line="360" w:lineRule="auto"/>
              <w:jc w:val="center"/>
              <w:rPr>
                <w:b/>
                <w:bCs/>
                <w:sz w:val="21"/>
                <w:szCs w:val="21"/>
                <w:lang w:eastAsia="zh-CN"/>
              </w:rPr>
            </w:pPr>
            <w:r>
              <w:rPr>
                <w:rFonts w:hint="eastAsia"/>
                <w:b/>
                <w:bCs/>
                <w:sz w:val="21"/>
                <w:szCs w:val="21"/>
              </w:rPr>
              <w:t>其他服务</w:t>
            </w:r>
          </w:p>
        </w:tc>
        <w:tc>
          <w:tcPr>
            <w:tcW w:w="2129" w:type="dxa"/>
            <w:vAlign w:val="center"/>
          </w:tcPr>
          <w:p>
            <w:pPr>
              <w:spacing w:line="360" w:lineRule="auto"/>
              <w:jc w:val="center"/>
              <w:rPr>
                <w:b/>
                <w:bCs/>
                <w:sz w:val="21"/>
                <w:szCs w:val="21"/>
                <w:lang w:eastAsia="zh-CN"/>
              </w:rPr>
            </w:pPr>
            <w:r>
              <w:rPr>
                <w:rFonts w:hint="eastAsia"/>
                <w:color w:val="000000"/>
                <w:sz w:val="21"/>
                <w:szCs w:val="21"/>
                <w:lang w:eastAsia="zh-CN"/>
              </w:rPr>
              <w:t>7.14</w:t>
            </w:r>
          </w:p>
        </w:tc>
        <w:tc>
          <w:tcPr>
            <w:tcW w:w="2129" w:type="dxa"/>
            <w:vAlign w:val="center"/>
          </w:tcPr>
          <w:p>
            <w:pPr>
              <w:spacing w:line="360" w:lineRule="auto"/>
              <w:jc w:val="center"/>
              <w:rPr>
                <w:b/>
                <w:bCs/>
                <w:sz w:val="21"/>
                <w:szCs w:val="21"/>
                <w:lang w:eastAsia="zh-CN"/>
              </w:rPr>
            </w:pPr>
            <w:r>
              <w:rPr>
                <w:color w:val="000000"/>
                <w:sz w:val="21"/>
                <w:szCs w:val="21"/>
              </w:rPr>
              <w:t>0</w:t>
            </w:r>
          </w:p>
        </w:tc>
        <w:tc>
          <w:tcPr>
            <w:tcW w:w="2129" w:type="dxa"/>
            <w:vAlign w:val="center"/>
          </w:tcPr>
          <w:p>
            <w:pPr>
              <w:spacing w:line="360" w:lineRule="auto"/>
              <w:jc w:val="center"/>
              <w:rPr>
                <w:b/>
                <w:bCs/>
                <w:sz w:val="21"/>
                <w:szCs w:val="21"/>
                <w:lang w:eastAsia="zh-CN"/>
              </w:rPr>
            </w:pPr>
            <w:r>
              <w:rPr>
                <w:color w:val="000000"/>
                <w:sz w:val="21"/>
                <w:szCs w:val="21"/>
                <w:lang w:eastAsia="zh-CN"/>
              </w:rPr>
              <w:t>0</w:t>
            </w:r>
          </w:p>
        </w:tc>
      </w:tr>
    </w:tbl>
    <w:p>
      <w:pPr>
        <w:pStyle w:val="2"/>
        <w:spacing w:before="123" w:line="360" w:lineRule="auto"/>
        <w:ind w:left="0" w:firstLine="482" w:firstLineChars="200"/>
        <w:rPr>
          <w:lang w:eastAsia="zh-CN"/>
        </w:rPr>
      </w:pPr>
      <w:bookmarkStart w:id="18" w:name="_TOC_250002"/>
      <w:r>
        <w:rPr>
          <w:rFonts w:hint="eastAsia"/>
          <w:lang w:eastAsia="zh-CN"/>
        </w:rPr>
        <w:t>（二）技术服务到款额</w:t>
      </w:r>
      <w:bookmarkEnd w:id="18"/>
      <w:r>
        <w:rPr>
          <w:rFonts w:hint="eastAsia"/>
          <w:w w:val="99"/>
          <w:lang w:eastAsia="zh-CN"/>
        </w:rPr>
        <w:t xml:space="preserve"> </w:t>
      </w:r>
    </w:p>
    <w:p>
      <w:pPr>
        <w:spacing w:line="360" w:lineRule="auto"/>
        <w:ind w:firstLine="464" w:firstLineChars="200"/>
        <w:rPr>
          <w:spacing w:val="-4"/>
          <w:sz w:val="24"/>
          <w:szCs w:val="24"/>
          <w:lang w:eastAsia="zh-CN"/>
        </w:rPr>
      </w:pPr>
      <w:r>
        <w:rPr>
          <w:rFonts w:hint="eastAsia"/>
          <w:spacing w:val="-4"/>
          <w:sz w:val="24"/>
          <w:szCs w:val="24"/>
          <w:lang w:eastAsia="zh-CN"/>
        </w:rPr>
        <w:t>学院近三年纵向科研和培训服务到款额基本保持稳定，而横向技术服务和技术交易额在学院一系列政策措施的指导下稳步增长。在保持学院科研数量平稳的基础上，更加注重科研活动的经济效益和社会效益，促进科研成果的社会转化，引导初步实现学院应用型科研转型。下一步，学院在抓好纵向科研和技术服务的同时，需要多开展横向技术服务和技术交易，将学院科技成果转化为实际生产力，服务地方经济社会发展。2017-2019学年度技术服务详见表9。</w:t>
      </w:r>
    </w:p>
    <w:p>
      <w:pPr>
        <w:spacing w:line="360" w:lineRule="auto"/>
        <w:jc w:val="center"/>
        <w:rPr>
          <w:b/>
          <w:bCs/>
          <w:sz w:val="24"/>
          <w:szCs w:val="24"/>
          <w:lang w:eastAsia="zh-CN"/>
        </w:rPr>
      </w:pPr>
      <w:r>
        <w:rPr>
          <w:rFonts w:hint="eastAsia"/>
          <w:b/>
          <w:bCs/>
          <w:color w:val="000000" w:themeColor="text1"/>
          <w:sz w:val="24"/>
          <w:szCs w:val="24"/>
          <w:lang w:eastAsia="zh-CN"/>
          <w14:textFill>
            <w14:solidFill>
              <w14:schemeClr w14:val="tx1"/>
            </w14:solidFill>
          </w14:textFill>
        </w:rPr>
        <w:t xml:space="preserve">表9 </w:t>
      </w:r>
      <w:r>
        <w:rPr>
          <w:rFonts w:hint="eastAsia"/>
          <w:b/>
          <w:bCs/>
          <w:color w:val="FF0000"/>
          <w:sz w:val="24"/>
          <w:szCs w:val="24"/>
          <w:lang w:eastAsia="zh-CN"/>
        </w:rPr>
        <w:t xml:space="preserve"> </w:t>
      </w:r>
      <w:r>
        <w:rPr>
          <w:rFonts w:hint="eastAsia"/>
          <w:b/>
          <w:bCs/>
          <w:sz w:val="24"/>
          <w:szCs w:val="24"/>
          <w:lang w:eastAsia="zh-CN"/>
        </w:rPr>
        <w:t xml:space="preserve"> 2017-2019年度技术服务到款额 单位（万元）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spacing w:line="360" w:lineRule="auto"/>
              <w:jc w:val="center"/>
              <w:rPr>
                <w:b/>
                <w:bCs/>
                <w:sz w:val="21"/>
                <w:szCs w:val="21"/>
                <w:lang w:eastAsia="zh-CN"/>
              </w:rPr>
            </w:pPr>
            <w:bookmarkStart w:id="20" w:name="_GoBack" w:colFirst="0" w:colLast="3"/>
          </w:p>
        </w:tc>
        <w:tc>
          <w:tcPr>
            <w:tcW w:w="2129" w:type="dxa"/>
            <w:vAlign w:val="center"/>
          </w:tcPr>
          <w:p>
            <w:pPr>
              <w:spacing w:line="360" w:lineRule="auto"/>
              <w:ind w:firstLine="211" w:firstLineChars="100"/>
              <w:jc w:val="center"/>
              <w:rPr>
                <w:b/>
                <w:bCs/>
                <w:sz w:val="21"/>
                <w:szCs w:val="21"/>
                <w:lang w:eastAsia="zh-CN"/>
              </w:rPr>
            </w:pPr>
            <w:r>
              <w:rPr>
                <w:b/>
                <w:bCs/>
                <w:color w:val="000000"/>
                <w:sz w:val="21"/>
                <w:szCs w:val="21"/>
                <w:lang w:eastAsia="zh-CN"/>
              </w:rPr>
              <w:t>2017</w:t>
            </w:r>
            <w:r>
              <w:rPr>
                <w:rFonts w:hint="eastAsia"/>
                <w:b/>
                <w:bCs/>
                <w:color w:val="000000"/>
                <w:sz w:val="21"/>
                <w:szCs w:val="21"/>
                <w:lang w:eastAsia="zh-CN"/>
              </w:rPr>
              <w:t>年度</w:t>
            </w:r>
          </w:p>
        </w:tc>
        <w:tc>
          <w:tcPr>
            <w:tcW w:w="2129" w:type="dxa"/>
            <w:vAlign w:val="center"/>
          </w:tcPr>
          <w:p>
            <w:pPr>
              <w:spacing w:line="360" w:lineRule="auto"/>
              <w:ind w:firstLine="211" w:firstLineChars="100"/>
              <w:jc w:val="center"/>
              <w:rPr>
                <w:b/>
                <w:bCs/>
                <w:sz w:val="21"/>
                <w:szCs w:val="21"/>
                <w:lang w:eastAsia="zh-CN"/>
              </w:rPr>
            </w:pPr>
            <w:r>
              <w:rPr>
                <w:b/>
                <w:bCs/>
                <w:color w:val="000000"/>
                <w:sz w:val="21"/>
                <w:szCs w:val="21"/>
                <w:lang w:eastAsia="zh-CN"/>
              </w:rPr>
              <w:t>2018</w:t>
            </w:r>
            <w:r>
              <w:rPr>
                <w:rFonts w:hint="eastAsia"/>
                <w:b/>
                <w:bCs/>
                <w:color w:val="000000"/>
                <w:sz w:val="21"/>
                <w:szCs w:val="21"/>
                <w:lang w:eastAsia="zh-CN"/>
              </w:rPr>
              <w:t>年度</w:t>
            </w:r>
          </w:p>
        </w:tc>
        <w:tc>
          <w:tcPr>
            <w:tcW w:w="2129" w:type="dxa"/>
            <w:vAlign w:val="center"/>
          </w:tcPr>
          <w:p>
            <w:pPr>
              <w:spacing w:line="360" w:lineRule="auto"/>
              <w:ind w:firstLine="422" w:firstLineChars="200"/>
              <w:jc w:val="center"/>
              <w:rPr>
                <w:b/>
                <w:bCs/>
                <w:sz w:val="21"/>
                <w:szCs w:val="21"/>
                <w:lang w:eastAsia="zh-CN"/>
              </w:rPr>
            </w:pPr>
            <w:r>
              <w:rPr>
                <w:b/>
                <w:bCs/>
                <w:color w:val="000000"/>
                <w:sz w:val="21"/>
                <w:szCs w:val="21"/>
                <w:lang w:eastAsia="zh-CN"/>
              </w:rPr>
              <w:t>2019</w:t>
            </w:r>
            <w:r>
              <w:rPr>
                <w:rFonts w:hint="eastAsia"/>
                <w:b/>
                <w:bCs/>
                <w:color w:val="000000"/>
                <w:sz w:val="21"/>
                <w:szCs w:val="21"/>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spacing w:line="360" w:lineRule="auto"/>
              <w:jc w:val="center"/>
              <w:rPr>
                <w:b/>
                <w:bCs/>
                <w:sz w:val="21"/>
                <w:szCs w:val="21"/>
                <w:lang w:eastAsia="zh-CN"/>
              </w:rPr>
            </w:pPr>
            <w:r>
              <w:rPr>
                <w:rFonts w:hint="eastAsia"/>
                <w:b/>
                <w:bCs/>
                <w:sz w:val="21"/>
                <w:szCs w:val="21"/>
              </w:rPr>
              <w:t>纵向科研</w:t>
            </w:r>
          </w:p>
        </w:tc>
        <w:tc>
          <w:tcPr>
            <w:tcW w:w="2129" w:type="dxa"/>
          </w:tcPr>
          <w:p>
            <w:pPr>
              <w:spacing w:line="360" w:lineRule="auto"/>
              <w:jc w:val="center"/>
              <w:rPr>
                <w:sz w:val="21"/>
                <w:szCs w:val="21"/>
                <w:lang w:eastAsia="zh-CN"/>
              </w:rPr>
            </w:pPr>
            <w:r>
              <w:rPr>
                <w:rFonts w:hint="eastAsia"/>
                <w:sz w:val="21"/>
                <w:szCs w:val="21"/>
                <w:lang w:eastAsia="zh-CN"/>
              </w:rPr>
              <w:t>429.10</w:t>
            </w:r>
          </w:p>
        </w:tc>
        <w:tc>
          <w:tcPr>
            <w:tcW w:w="2129" w:type="dxa"/>
          </w:tcPr>
          <w:p>
            <w:pPr>
              <w:spacing w:line="360" w:lineRule="auto"/>
              <w:jc w:val="center"/>
              <w:rPr>
                <w:sz w:val="21"/>
                <w:szCs w:val="21"/>
                <w:lang w:eastAsia="zh-CN"/>
              </w:rPr>
            </w:pPr>
            <w:r>
              <w:rPr>
                <w:rFonts w:hint="eastAsia"/>
                <w:sz w:val="21"/>
                <w:szCs w:val="21"/>
                <w:lang w:eastAsia="zh-CN"/>
              </w:rPr>
              <w:t>130.20</w:t>
            </w:r>
          </w:p>
        </w:tc>
        <w:tc>
          <w:tcPr>
            <w:tcW w:w="2129" w:type="dxa"/>
          </w:tcPr>
          <w:p>
            <w:pPr>
              <w:spacing w:line="360" w:lineRule="auto"/>
              <w:jc w:val="center"/>
              <w:rPr>
                <w:sz w:val="21"/>
                <w:szCs w:val="21"/>
                <w:lang w:eastAsia="zh-CN"/>
              </w:rPr>
            </w:pPr>
            <w:r>
              <w:rPr>
                <w:rFonts w:hint="eastAsia"/>
                <w:sz w:val="21"/>
                <w:szCs w:val="21"/>
                <w:lang w:eastAsia="zh-CN"/>
              </w:rPr>
              <w:t>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spacing w:line="360" w:lineRule="auto"/>
              <w:jc w:val="center"/>
              <w:rPr>
                <w:b/>
                <w:bCs/>
                <w:sz w:val="21"/>
                <w:szCs w:val="21"/>
                <w:lang w:eastAsia="zh-CN"/>
              </w:rPr>
            </w:pPr>
            <w:r>
              <w:rPr>
                <w:rFonts w:hint="eastAsia"/>
                <w:b/>
                <w:bCs/>
                <w:sz w:val="21"/>
                <w:szCs w:val="21"/>
              </w:rPr>
              <w:t>横向技术服务</w:t>
            </w:r>
          </w:p>
        </w:tc>
        <w:tc>
          <w:tcPr>
            <w:tcW w:w="2129" w:type="dxa"/>
          </w:tcPr>
          <w:p>
            <w:pPr>
              <w:spacing w:line="360" w:lineRule="auto"/>
              <w:jc w:val="center"/>
              <w:rPr>
                <w:sz w:val="21"/>
                <w:szCs w:val="21"/>
                <w:lang w:eastAsia="zh-CN"/>
              </w:rPr>
            </w:pPr>
            <w:r>
              <w:rPr>
                <w:rFonts w:hint="eastAsia"/>
                <w:sz w:val="21"/>
                <w:szCs w:val="21"/>
                <w:lang w:eastAsia="zh-CN"/>
              </w:rPr>
              <w:t>51.00</w:t>
            </w:r>
          </w:p>
        </w:tc>
        <w:tc>
          <w:tcPr>
            <w:tcW w:w="2129" w:type="dxa"/>
          </w:tcPr>
          <w:p>
            <w:pPr>
              <w:spacing w:line="360" w:lineRule="auto"/>
              <w:jc w:val="center"/>
              <w:rPr>
                <w:sz w:val="21"/>
                <w:szCs w:val="21"/>
                <w:lang w:eastAsia="zh-CN"/>
              </w:rPr>
            </w:pPr>
            <w:r>
              <w:rPr>
                <w:rFonts w:hint="eastAsia"/>
                <w:sz w:val="21"/>
                <w:szCs w:val="21"/>
                <w:lang w:eastAsia="zh-CN"/>
              </w:rPr>
              <w:t>63.43</w:t>
            </w:r>
          </w:p>
        </w:tc>
        <w:tc>
          <w:tcPr>
            <w:tcW w:w="2129" w:type="dxa"/>
          </w:tcPr>
          <w:p>
            <w:pPr>
              <w:spacing w:line="360" w:lineRule="auto"/>
              <w:jc w:val="center"/>
              <w:rPr>
                <w:sz w:val="21"/>
                <w:szCs w:val="21"/>
                <w:lang w:eastAsia="zh-CN"/>
              </w:rPr>
            </w:pPr>
            <w:r>
              <w:rPr>
                <w:rFonts w:hint="eastAsia"/>
                <w:sz w:val="21"/>
                <w:szCs w:val="21"/>
                <w:lang w:eastAsia="zh-CN"/>
              </w:rPr>
              <w:t>3292.16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spacing w:line="360" w:lineRule="auto"/>
              <w:jc w:val="center"/>
              <w:rPr>
                <w:b/>
                <w:bCs/>
                <w:sz w:val="21"/>
                <w:szCs w:val="21"/>
                <w:lang w:eastAsia="zh-CN"/>
              </w:rPr>
            </w:pPr>
            <w:r>
              <w:rPr>
                <w:rFonts w:hint="eastAsia"/>
                <w:b/>
                <w:bCs/>
                <w:sz w:val="21"/>
                <w:szCs w:val="21"/>
              </w:rPr>
              <w:t>培训服务</w:t>
            </w:r>
          </w:p>
        </w:tc>
        <w:tc>
          <w:tcPr>
            <w:tcW w:w="2129" w:type="dxa"/>
          </w:tcPr>
          <w:p>
            <w:pPr>
              <w:spacing w:line="360" w:lineRule="auto"/>
              <w:jc w:val="center"/>
              <w:rPr>
                <w:sz w:val="21"/>
                <w:szCs w:val="21"/>
                <w:lang w:eastAsia="zh-CN"/>
              </w:rPr>
            </w:pPr>
            <w:r>
              <w:rPr>
                <w:rFonts w:hint="eastAsia"/>
                <w:sz w:val="21"/>
                <w:szCs w:val="21"/>
                <w:lang w:eastAsia="zh-CN"/>
              </w:rPr>
              <w:t>413.00</w:t>
            </w:r>
          </w:p>
        </w:tc>
        <w:tc>
          <w:tcPr>
            <w:tcW w:w="2129" w:type="dxa"/>
          </w:tcPr>
          <w:p>
            <w:pPr>
              <w:spacing w:line="360" w:lineRule="auto"/>
              <w:jc w:val="center"/>
              <w:rPr>
                <w:sz w:val="21"/>
                <w:szCs w:val="21"/>
                <w:lang w:eastAsia="zh-CN"/>
              </w:rPr>
            </w:pPr>
            <w:r>
              <w:rPr>
                <w:rFonts w:hint="eastAsia"/>
                <w:sz w:val="21"/>
                <w:szCs w:val="21"/>
                <w:lang w:eastAsia="zh-CN"/>
              </w:rPr>
              <w:t>326.20</w:t>
            </w:r>
          </w:p>
        </w:tc>
        <w:tc>
          <w:tcPr>
            <w:tcW w:w="2129" w:type="dxa"/>
          </w:tcPr>
          <w:p>
            <w:pPr>
              <w:spacing w:line="360" w:lineRule="auto"/>
              <w:jc w:val="center"/>
              <w:rPr>
                <w:sz w:val="21"/>
                <w:szCs w:val="21"/>
                <w:lang w:eastAsia="zh-CN"/>
              </w:rPr>
            </w:pPr>
            <w:r>
              <w:rPr>
                <w:rFonts w:hint="eastAsia"/>
                <w:sz w:val="21"/>
                <w:szCs w:val="21"/>
                <w:lang w:eastAsia="zh-CN"/>
              </w:rPr>
              <w:t>400.93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spacing w:line="360" w:lineRule="auto"/>
              <w:jc w:val="center"/>
              <w:rPr>
                <w:b/>
                <w:bCs/>
                <w:sz w:val="21"/>
                <w:szCs w:val="21"/>
                <w:lang w:eastAsia="zh-CN"/>
              </w:rPr>
            </w:pPr>
            <w:r>
              <w:rPr>
                <w:rFonts w:hint="eastAsia"/>
                <w:b/>
                <w:bCs/>
                <w:sz w:val="21"/>
                <w:szCs w:val="21"/>
              </w:rPr>
              <w:t>技术交易</w:t>
            </w:r>
          </w:p>
        </w:tc>
        <w:tc>
          <w:tcPr>
            <w:tcW w:w="2129" w:type="dxa"/>
          </w:tcPr>
          <w:p>
            <w:pPr>
              <w:spacing w:line="360" w:lineRule="auto"/>
              <w:jc w:val="center"/>
              <w:rPr>
                <w:sz w:val="21"/>
                <w:szCs w:val="21"/>
                <w:lang w:eastAsia="zh-CN"/>
              </w:rPr>
            </w:pPr>
            <w:r>
              <w:rPr>
                <w:rFonts w:hint="eastAsia"/>
                <w:sz w:val="21"/>
                <w:szCs w:val="21"/>
                <w:lang w:eastAsia="zh-CN"/>
              </w:rPr>
              <w:t>25.00</w:t>
            </w:r>
          </w:p>
        </w:tc>
        <w:tc>
          <w:tcPr>
            <w:tcW w:w="2129" w:type="dxa"/>
          </w:tcPr>
          <w:p>
            <w:pPr>
              <w:spacing w:line="360" w:lineRule="auto"/>
              <w:jc w:val="center"/>
              <w:rPr>
                <w:sz w:val="21"/>
                <w:szCs w:val="21"/>
                <w:lang w:eastAsia="zh-CN"/>
              </w:rPr>
            </w:pPr>
            <w:r>
              <w:rPr>
                <w:rFonts w:hint="eastAsia"/>
                <w:sz w:val="21"/>
                <w:szCs w:val="21"/>
                <w:lang w:eastAsia="zh-CN"/>
              </w:rPr>
              <w:t>37.63</w:t>
            </w:r>
          </w:p>
        </w:tc>
        <w:tc>
          <w:tcPr>
            <w:tcW w:w="2129" w:type="dxa"/>
          </w:tcPr>
          <w:p>
            <w:pPr>
              <w:spacing w:line="360" w:lineRule="auto"/>
              <w:jc w:val="center"/>
              <w:rPr>
                <w:sz w:val="21"/>
                <w:szCs w:val="21"/>
                <w:lang w:eastAsia="zh-CN"/>
              </w:rPr>
            </w:pPr>
            <w:r>
              <w:rPr>
                <w:rFonts w:hint="eastAsia"/>
                <w:sz w:val="21"/>
                <w:szCs w:val="21"/>
                <w:lang w:eastAsia="zh-CN"/>
              </w:rPr>
              <w:t>847.16</w:t>
            </w:r>
          </w:p>
        </w:tc>
      </w:tr>
      <w:bookmarkEnd w:id="20"/>
    </w:tbl>
    <w:p>
      <w:pPr>
        <w:spacing w:line="360" w:lineRule="auto"/>
        <w:jc w:val="center"/>
        <w:rPr>
          <w:b/>
          <w:bCs/>
          <w:sz w:val="24"/>
          <w:szCs w:val="24"/>
          <w:lang w:eastAsia="zh-CN"/>
        </w:rPr>
      </w:pPr>
    </w:p>
    <w:p>
      <w:pPr>
        <w:spacing w:line="360" w:lineRule="auto"/>
        <w:ind w:firstLine="562" w:firstLineChars="200"/>
        <w:rPr>
          <w:b/>
          <w:bCs/>
          <w:sz w:val="28"/>
          <w:szCs w:val="28"/>
          <w:lang w:eastAsia="zh-CN"/>
        </w:rPr>
      </w:pPr>
      <w:bookmarkStart w:id="19" w:name="_TOC_250001"/>
      <w:r>
        <w:rPr>
          <w:rFonts w:hint="eastAsia"/>
          <w:b/>
          <w:bCs/>
          <w:sz w:val="28"/>
          <w:szCs w:val="28"/>
          <w:lang w:eastAsia="zh-CN"/>
        </w:rPr>
        <w:t>六、存在问题及下一步思路</w:t>
      </w:r>
      <w:bookmarkEnd w:id="19"/>
      <w:r>
        <w:rPr>
          <w:rFonts w:hint="eastAsia"/>
          <w:b/>
          <w:bCs/>
          <w:w w:val="99"/>
          <w:sz w:val="28"/>
          <w:szCs w:val="28"/>
          <w:lang w:eastAsia="zh-CN"/>
        </w:rPr>
        <w:t xml:space="preserve"> </w:t>
      </w:r>
    </w:p>
    <w:p>
      <w:pPr>
        <w:spacing w:line="360" w:lineRule="auto"/>
        <w:ind w:firstLine="482" w:firstLineChars="200"/>
        <w:rPr>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（一）特色高水平专业有待进一步打造 </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目前我院共有51个专业，实际招生专业50个，学院根据区域经济社会发展和产业转型升级需要不断优化专业结构，突出专业优势和特色，打造了一批重点专业和特色专业。下一步学院将紧紧围绕服务全面建成小康社会，服务“中国制造2025”“脱贫攻坚”等国家战略、“一带一路”倡议，培育工匠精神、促进就业创业等方面、主动服务地方和行业产业需求，完善专业建设机制，建立人才需求预测机制、专业动态调整机制和专业协作发展机制，不断优化专业结构，打造一批国内、省内的特色高水平专业。</w:t>
      </w:r>
    </w:p>
    <w:p>
      <w:pPr>
        <w:spacing w:line="360" w:lineRule="auto"/>
        <w:ind w:firstLine="482"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（二）服务区域经济社会发展的能力有待进一步提升</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 目前我院在校企合作、产教融合、服务地方经济社会发展方面取得了一些成绩,如社会培训，纵向科研、技术服务等，但总体规模还不大，产生的社会影响不大。特别是横向技术服务到款额比较低，为企业开展技术服务水平比较低。下一步学院将更加积极主动地对接地方产业，完善校企深度融合机制，打造创新技术服务平台，推进技术转移，提升社会服务质量和水平，为区域经济社会发展作出更大的贡献。</w:t>
      </w:r>
    </w:p>
    <w:p>
      <w:pPr>
        <w:spacing w:line="360" w:lineRule="auto"/>
        <w:ind w:firstLine="482"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（三） 智慧校园信息化管理水平有待进一步提高 </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目前我院信息管理系统尚未整合，还存在着“信息孤岛”。 根据学院规划，下一步要构建校本数据中心，消除“信息孤岛”，实现人才培养状态数据采集实时化、常态化，实现各类信息管理系统之间无缝衔接。数据共享，加强对各类数据信息的分析和运用，为学院的科学决策和一流管理提供强有力的支撑。</w:t>
      </w:r>
    </w:p>
    <w:p>
      <w:pPr>
        <w:spacing w:line="360" w:lineRule="auto"/>
        <w:ind w:firstLine="480" w:firstLineChars="200"/>
        <w:rPr>
          <w:color w:val="000000" w:themeColor="text1"/>
          <w:sz w:val="24"/>
          <w:szCs w:val="24"/>
          <w:lang w:eastAsia="zh-CN"/>
          <w14:textFill>
            <w14:solidFill>
              <w14:schemeClr w14:val="tx1"/>
            </w14:solidFill>
          </w14:textFill>
        </w:rPr>
      </w:pPr>
    </w:p>
    <w:sectPr>
      <w:footerReference r:id="rId5" w:type="default"/>
      <w:pgSz w:w="11906" w:h="16838"/>
      <w:pgMar w:top="1440" w:right="1803" w:bottom="2268"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371"/>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eastAsia="zh-CN" w:bidi="ar-SA"/>
      </w:rPr>
      <mc:AlternateContent>
        <mc:Choice Requires="wps">
          <w:drawing>
            <wp:anchor distT="0" distB="0" distL="114300" distR="114300" simplePos="0" relativeHeight="50326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26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r>
      <w:rPr>
        <w:lang w:eastAsia="zh-CN" w:bidi="ar-SA"/>
      </w:rPr>
      <mc:AlternateContent>
        <mc:Choice Requires="wps">
          <w:drawing>
            <wp:anchor distT="0" distB="0" distL="114300" distR="114300" simplePos="0" relativeHeight="503258112" behindDoc="1" locked="0" layoutInCell="1" allowOverlap="1">
              <wp:simplePos x="0" y="0"/>
              <wp:positionH relativeFrom="page">
                <wp:posOffset>3726815</wp:posOffset>
              </wp:positionH>
              <wp:positionV relativeFrom="page">
                <wp:posOffset>9885045</wp:posOffset>
              </wp:positionV>
              <wp:extent cx="109220" cy="139700"/>
              <wp:effectExtent l="0" t="0" r="0" b="0"/>
              <wp:wrapNone/>
              <wp:docPr id="48" name="文本框 3"/>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spacing w:line="203" w:lineRule="exact"/>
                            <w:ind w:left="40"/>
                            <w:rPr>
                              <w:rFonts w:ascii="Calibri"/>
                              <w:sz w:val="18"/>
                            </w:rPr>
                          </w:pPr>
                        </w:p>
                      </w:txbxContent>
                    </wps:txbx>
                    <wps:bodyPr lIns="0" tIns="0" rIns="0" bIns="0" upright="1"/>
                  </wps:wsp>
                </a:graphicData>
              </a:graphic>
            </wp:anchor>
          </w:drawing>
        </mc:Choice>
        <mc:Fallback>
          <w:pict>
            <v:shape id="文本框 3" o:spid="_x0000_s1026" o:spt="202" type="#_x0000_t202" style="position:absolute;left:0pt;margin-left:293.45pt;margin-top:778.35pt;height:11pt;width:8.6pt;mso-position-horizontal-relative:page;mso-position-vertical-relative:page;z-index:-58368;mso-width-relative:page;mso-height-relative:page;" filled="f" stroked="f" coordsize="21600,21600" o:gfxdata="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1zDq2gAAAA0B&#10;AAAPAAAAAAAAAAEAIAAAACIAAABkcnMvZG93bnJldi54bWxQSwECFAAUAAAACACHTuJAf3E4lacB&#10;AAAtAwAADgAAAAAAAAABACAAAAApAQAAZHJzL2Uyb0RvYy54bWxQSwUGAAAAAAYABgBZAQAAQgUA&#10;AAAA&#10;">
              <v:fill on="f" focussize="0,0"/>
              <v:stroke on="f"/>
              <v:imagedata o:title=""/>
              <o:lock v:ext="edit" aspectratio="f"/>
              <v:textbox inset="0mm,0mm,0mm,0mm">
                <w:txbxContent>
                  <w:p>
                    <w:pPr>
                      <w:spacing w:line="203" w:lineRule="exact"/>
                      <w:ind w:left="40"/>
                      <w:rPr>
                        <w:rFonts w:ascii="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eastAsia="zh-CN" w:bidi="ar-SA"/>
      </w:rPr>
      <mc:AlternateContent>
        <mc:Choice Requires="wps">
          <w:drawing>
            <wp:anchor distT="0" distB="0" distL="114300" distR="114300" simplePos="0" relativeHeight="50326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26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12</w:t>
                    </w:r>
                    <w:r>
                      <w:rPr>
                        <w:rFonts w:hint="eastAsia"/>
                        <w:lang w:eastAsia="zh-CN"/>
                      </w:rPr>
                      <w:fldChar w:fldCharType="end"/>
                    </w:r>
                  </w:p>
                </w:txbxContent>
              </v:textbox>
            </v:shape>
          </w:pict>
        </mc:Fallback>
      </mc:AlternateContent>
    </w:r>
    <w:r>
      <w:rPr>
        <w:lang w:eastAsia="zh-CN" w:bidi="ar-SA"/>
      </w:rPr>
      <mc:AlternateContent>
        <mc:Choice Requires="wps">
          <w:drawing>
            <wp:anchor distT="0" distB="0" distL="114300" distR="114300" simplePos="0" relativeHeight="503262208" behindDoc="1" locked="0" layoutInCell="1" allowOverlap="1">
              <wp:simplePos x="0" y="0"/>
              <wp:positionH relativeFrom="page">
                <wp:posOffset>3726815</wp:posOffset>
              </wp:positionH>
              <wp:positionV relativeFrom="page">
                <wp:posOffset>9885045</wp:posOffset>
              </wp:positionV>
              <wp:extent cx="109220" cy="1397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spacing w:line="203" w:lineRule="exact"/>
                            <w:ind w:left="40"/>
                            <w:rPr>
                              <w:rFonts w:ascii="Calibri"/>
                              <w:sz w:val="18"/>
                            </w:rPr>
                          </w:pPr>
                        </w:p>
                      </w:txbxContent>
                    </wps:txbx>
                    <wps:bodyPr lIns="0" tIns="0" rIns="0" bIns="0" upright="1"/>
                  </wps:wsp>
                </a:graphicData>
              </a:graphic>
            </wp:anchor>
          </w:drawing>
        </mc:Choice>
        <mc:Fallback>
          <w:pict>
            <v:shape id="文本框 3" o:spid="_x0000_s1026" o:spt="202" type="#_x0000_t202" style="position:absolute;left:0pt;margin-left:293.45pt;margin-top:778.35pt;height:11pt;width:8.6pt;mso-position-horizontal-relative:page;mso-position-vertical-relative:page;z-index:-54272;mso-width-relative:page;mso-height-relative:page;" filled="f" stroked="f" coordsize="21600,21600" o:gfxdata="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XXMOraAAAADQEA&#10;AA8AAAAAAAAAAQAgAAAAIgAAAGRycy9kb3ducmV2LnhtbFBLAQIUABQAAAAIAIdO4kB8HVcypgEA&#10;ACwDAAAOAAAAAAAAAAEAIAAAACkBAABkcnMvZTJvRG9jLnhtbFBLBQYAAAAABgAGAFkBAABBBQAA&#10;AAA=&#10;">
              <v:fill on="f" focussize="0,0"/>
              <v:stroke on="f"/>
              <v:imagedata o:title=""/>
              <o:lock v:ext="edit" aspectratio="f"/>
              <v:textbox inset="0mm,0mm,0mm,0mm">
                <w:txbxContent>
                  <w:p>
                    <w:pPr>
                      <w:spacing w:line="203" w:lineRule="exact"/>
                      <w:ind w:left="40"/>
                      <w:rPr>
                        <w:rFonts w:ascii="Calibri"/>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DA41"/>
    <w:multiLevelType w:val="singleLevel"/>
    <w:tmpl w:val="2EA5DA41"/>
    <w:lvl w:ilvl="0" w:tentative="0">
      <w:start w:val="2"/>
      <w:numFmt w:val="chineseCounting"/>
      <w:suff w:val="nothing"/>
      <w:lvlText w:val="%1、"/>
      <w:lvlJc w:val="left"/>
      <w:rPr>
        <w:rFonts w:hint="eastAsia"/>
      </w:rPr>
    </w:lvl>
  </w:abstractNum>
  <w:abstractNum w:abstractNumId="1">
    <w:nsid w:val="782212D5"/>
    <w:multiLevelType w:val="multilevel"/>
    <w:tmpl w:val="782212D5"/>
    <w:lvl w:ilvl="0" w:tentative="0">
      <w:start w:val="3"/>
      <w:numFmt w:val="japaneseCounting"/>
      <w:lvlText w:val="%1、"/>
      <w:lvlJc w:val="left"/>
      <w:pPr>
        <w:ind w:left="1191" w:hanging="510"/>
      </w:pPr>
      <w:rPr>
        <w:rFonts w:hint="default"/>
        <w:w w:val="100"/>
      </w:rPr>
    </w:lvl>
    <w:lvl w:ilvl="1" w:tentative="0">
      <w:start w:val="1"/>
      <w:numFmt w:val="lowerLetter"/>
      <w:lvlText w:val="%2)"/>
      <w:lvlJc w:val="left"/>
      <w:pPr>
        <w:ind w:left="1521" w:hanging="420"/>
      </w:pPr>
    </w:lvl>
    <w:lvl w:ilvl="2" w:tentative="0">
      <w:start w:val="1"/>
      <w:numFmt w:val="lowerRoman"/>
      <w:lvlText w:val="%3."/>
      <w:lvlJc w:val="right"/>
      <w:pPr>
        <w:ind w:left="1941" w:hanging="420"/>
      </w:pPr>
    </w:lvl>
    <w:lvl w:ilvl="3" w:tentative="0">
      <w:start w:val="1"/>
      <w:numFmt w:val="decimal"/>
      <w:lvlText w:val="%4."/>
      <w:lvlJc w:val="left"/>
      <w:pPr>
        <w:ind w:left="2361" w:hanging="420"/>
      </w:pPr>
    </w:lvl>
    <w:lvl w:ilvl="4" w:tentative="0">
      <w:start w:val="1"/>
      <w:numFmt w:val="lowerLetter"/>
      <w:lvlText w:val="%5)"/>
      <w:lvlJc w:val="left"/>
      <w:pPr>
        <w:ind w:left="2781" w:hanging="420"/>
      </w:pPr>
    </w:lvl>
    <w:lvl w:ilvl="5" w:tentative="0">
      <w:start w:val="1"/>
      <w:numFmt w:val="lowerRoman"/>
      <w:lvlText w:val="%6."/>
      <w:lvlJc w:val="right"/>
      <w:pPr>
        <w:ind w:left="3201" w:hanging="420"/>
      </w:pPr>
    </w:lvl>
    <w:lvl w:ilvl="6" w:tentative="0">
      <w:start w:val="1"/>
      <w:numFmt w:val="decimal"/>
      <w:lvlText w:val="%7."/>
      <w:lvlJc w:val="left"/>
      <w:pPr>
        <w:ind w:left="3621" w:hanging="420"/>
      </w:pPr>
    </w:lvl>
    <w:lvl w:ilvl="7" w:tentative="0">
      <w:start w:val="1"/>
      <w:numFmt w:val="lowerLetter"/>
      <w:lvlText w:val="%8)"/>
      <w:lvlJc w:val="left"/>
      <w:pPr>
        <w:ind w:left="4041" w:hanging="420"/>
      </w:pPr>
    </w:lvl>
    <w:lvl w:ilvl="8" w:tentative="0">
      <w:start w:val="1"/>
      <w:numFmt w:val="lowerRoman"/>
      <w:lvlText w:val="%9."/>
      <w:lvlJc w:val="right"/>
      <w:pPr>
        <w:ind w:left="446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7A0"/>
    <w:rsid w:val="000A3461"/>
    <w:rsid w:val="001021E2"/>
    <w:rsid w:val="00115A95"/>
    <w:rsid w:val="001453AF"/>
    <w:rsid w:val="00172A27"/>
    <w:rsid w:val="00225CFA"/>
    <w:rsid w:val="002951AD"/>
    <w:rsid w:val="002C08CA"/>
    <w:rsid w:val="00375545"/>
    <w:rsid w:val="00411F5A"/>
    <w:rsid w:val="00473E05"/>
    <w:rsid w:val="00581733"/>
    <w:rsid w:val="00590804"/>
    <w:rsid w:val="005973C2"/>
    <w:rsid w:val="005F6113"/>
    <w:rsid w:val="00641F44"/>
    <w:rsid w:val="006B6D30"/>
    <w:rsid w:val="006C3F81"/>
    <w:rsid w:val="008E17EA"/>
    <w:rsid w:val="009E6800"/>
    <w:rsid w:val="009F7D2D"/>
    <w:rsid w:val="00A06FCD"/>
    <w:rsid w:val="00A91D06"/>
    <w:rsid w:val="00B505D8"/>
    <w:rsid w:val="00C211D9"/>
    <w:rsid w:val="00C57EA4"/>
    <w:rsid w:val="00CC01BE"/>
    <w:rsid w:val="00D67DCE"/>
    <w:rsid w:val="00DB61B1"/>
    <w:rsid w:val="00E01F3D"/>
    <w:rsid w:val="00EA583B"/>
    <w:rsid w:val="00EB3259"/>
    <w:rsid w:val="00F04AF0"/>
    <w:rsid w:val="00F256A0"/>
    <w:rsid w:val="01E41F4E"/>
    <w:rsid w:val="0222354A"/>
    <w:rsid w:val="022F66AB"/>
    <w:rsid w:val="02AA02D6"/>
    <w:rsid w:val="046956E0"/>
    <w:rsid w:val="04CC21EC"/>
    <w:rsid w:val="05820C85"/>
    <w:rsid w:val="06065BE6"/>
    <w:rsid w:val="07A013EC"/>
    <w:rsid w:val="083C1849"/>
    <w:rsid w:val="089C5CF1"/>
    <w:rsid w:val="09601C48"/>
    <w:rsid w:val="0A0F593A"/>
    <w:rsid w:val="0AB93F46"/>
    <w:rsid w:val="0B3A33A4"/>
    <w:rsid w:val="0B775480"/>
    <w:rsid w:val="0BAF55A8"/>
    <w:rsid w:val="0BB734BD"/>
    <w:rsid w:val="0C130622"/>
    <w:rsid w:val="0CAA4172"/>
    <w:rsid w:val="0D633F24"/>
    <w:rsid w:val="0DF032C5"/>
    <w:rsid w:val="0EA274AC"/>
    <w:rsid w:val="0EBD5814"/>
    <w:rsid w:val="0EC613AC"/>
    <w:rsid w:val="0ED10AD7"/>
    <w:rsid w:val="0F8E742B"/>
    <w:rsid w:val="0F9F7015"/>
    <w:rsid w:val="10020B16"/>
    <w:rsid w:val="10631D58"/>
    <w:rsid w:val="10C7111E"/>
    <w:rsid w:val="11543F8B"/>
    <w:rsid w:val="11E67E93"/>
    <w:rsid w:val="1330719A"/>
    <w:rsid w:val="13925231"/>
    <w:rsid w:val="13AD695C"/>
    <w:rsid w:val="14313950"/>
    <w:rsid w:val="14773106"/>
    <w:rsid w:val="1513470D"/>
    <w:rsid w:val="164B04A3"/>
    <w:rsid w:val="1665009A"/>
    <w:rsid w:val="17282231"/>
    <w:rsid w:val="176E1903"/>
    <w:rsid w:val="17B17D3E"/>
    <w:rsid w:val="17D920F0"/>
    <w:rsid w:val="180B0088"/>
    <w:rsid w:val="1844160D"/>
    <w:rsid w:val="189E2ED7"/>
    <w:rsid w:val="18CE6717"/>
    <w:rsid w:val="19791419"/>
    <w:rsid w:val="1AE021C5"/>
    <w:rsid w:val="1B3E638B"/>
    <w:rsid w:val="1BC67D2A"/>
    <w:rsid w:val="1C070C76"/>
    <w:rsid w:val="1C1B17CC"/>
    <w:rsid w:val="1F312FC0"/>
    <w:rsid w:val="1F736161"/>
    <w:rsid w:val="1FB72CC9"/>
    <w:rsid w:val="1FEA1288"/>
    <w:rsid w:val="1FEA3AAF"/>
    <w:rsid w:val="200D7AE9"/>
    <w:rsid w:val="21782CB9"/>
    <w:rsid w:val="21A762B5"/>
    <w:rsid w:val="23002C62"/>
    <w:rsid w:val="23E534E1"/>
    <w:rsid w:val="24651F10"/>
    <w:rsid w:val="24CC5CA4"/>
    <w:rsid w:val="24E25B3D"/>
    <w:rsid w:val="25235F90"/>
    <w:rsid w:val="254661C6"/>
    <w:rsid w:val="25602E8E"/>
    <w:rsid w:val="260C3141"/>
    <w:rsid w:val="26FA7102"/>
    <w:rsid w:val="27856F40"/>
    <w:rsid w:val="27B35B79"/>
    <w:rsid w:val="27FB2B24"/>
    <w:rsid w:val="280E09A4"/>
    <w:rsid w:val="28380F11"/>
    <w:rsid w:val="28694772"/>
    <w:rsid w:val="29565594"/>
    <w:rsid w:val="2A217FA6"/>
    <w:rsid w:val="2A710553"/>
    <w:rsid w:val="2A9B197F"/>
    <w:rsid w:val="2C3217A3"/>
    <w:rsid w:val="2CC8784B"/>
    <w:rsid w:val="2D333272"/>
    <w:rsid w:val="2DF63CBA"/>
    <w:rsid w:val="2E5121BE"/>
    <w:rsid w:val="2E5D7F66"/>
    <w:rsid w:val="2E8F60D0"/>
    <w:rsid w:val="2F8D6B8E"/>
    <w:rsid w:val="2FBB7D72"/>
    <w:rsid w:val="30565C85"/>
    <w:rsid w:val="30A2221A"/>
    <w:rsid w:val="320358CD"/>
    <w:rsid w:val="32A71D30"/>
    <w:rsid w:val="330047C4"/>
    <w:rsid w:val="354340E9"/>
    <w:rsid w:val="35662D93"/>
    <w:rsid w:val="35E643F0"/>
    <w:rsid w:val="36AE0482"/>
    <w:rsid w:val="36D90FCF"/>
    <w:rsid w:val="37021B72"/>
    <w:rsid w:val="370E53D1"/>
    <w:rsid w:val="37502DFF"/>
    <w:rsid w:val="383808E6"/>
    <w:rsid w:val="3851344F"/>
    <w:rsid w:val="39DE3304"/>
    <w:rsid w:val="3A032ED1"/>
    <w:rsid w:val="3A3E3304"/>
    <w:rsid w:val="3A7A63D9"/>
    <w:rsid w:val="3AAE73FE"/>
    <w:rsid w:val="3B3F374C"/>
    <w:rsid w:val="3BCC47F7"/>
    <w:rsid w:val="3BFA78BC"/>
    <w:rsid w:val="3C9349F9"/>
    <w:rsid w:val="3D206286"/>
    <w:rsid w:val="3E641E65"/>
    <w:rsid w:val="3EDE3EE8"/>
    <w:rsid w:val="3F3E2516"/>
    <w:rsid w:val="3F6F39F7"/>
    <w:rsid w:val="40AC4A24"/>
    <w:rsid w:val="410C4667"/>
    <w:rsid w:val="41F21FDB"/>
    <w:rsid w:val="425C6956"/>
    <w:rsid w:val="439D10D4"/>
    <w:rsid w:val="44366268"/>
    <w:rsid w:val="448166F8"/>
    <w:rsid w:val="44C55CDF"/>
    <w:rsid w:val="455B1576"/>
    <w:rsid w:val="45825988"/>
    <w:rsid w:val="45E5066E"/>
    <w:rsid w:val="45ED24CB"/>
    <w:rsid w:val="46666106"/>
    <w:rsid w:val="46A5631E"/>
    <w:rsid w:val="46E125FE"/>
    <w:rsid w:val="47313A8E"/>
    <w:rsid w:val="476C7353"/>
    <w:rsid w:val="478456BF"/>
    <w:rsid w:val="47D46234"/>
    <w:rsid w:val="47DB581B"/>
    <w:rsid w:val="48D33690"/>
    <w:rsid w:val="4A23504A"/>
    <w:rsid w:val="4A885503"/>
    <w:rsid w:val="4A8D2602"/>
    <w:rsid w:val="4BEF0692"/>
    <w:rsid w:val="4C342213"/>
    <w:rsid w:val="4C43601E"/>
    <w:rsid w:val="4C66442F"/>
    <w:rsid w:val="4CA26CED"/>
    <w:rsid w:val="4D1F774E"/>
    <w:rsid w:val="4DF5533F"/>
    <w:rsid w:val="4E3E0FA5"/>
    <w:rsid w:val="4E491E36"/>
    <w:rsid w:val="4F7806A9"/>
    <w:rsid w:val="4FB577AD"/>
    <w:rsid w:val="501F47D1"/>
    <w:rsid w:val="5181254C"/>
    <w:rsid w:val="51C81AE0"/>
    <w:rsid w:val="53823A28"/>
    <w:rsid w:val="53EC6F7B"/>
    <w:rsid w:val="558D6F38"/>
    <w:rsid w:val="55945779"/>
    <w:rsid w:val="55CD6152"/>
    <w:rsid w:val="56AF5928"/>
    <w:rsid w:val="57F51013"/>
    <w:rsid w:val="593325B5"/>
    <w:rsid w:val="594C35B4"/>
    <w:rsid w:val="5A7A7A11"/>
    <w:rsid w:val="5B177317"/>
    <w:rsid w:val="5C3C0A48"/>
    <w:rsid w:val="5CED2A91"/>
    <w:rsid w:val="5E174DCE"/>
    <w:rsid w:val="5E205165"/>
    <w:rsid w:val="5F205FD8"/>
    <w:rsid w:val="5F2230C7"/>
    <w:rsid w:val="5F58322F"/>
    <w:rsid w:val="60374F8D"/>
    <w:rsid w:val="623958EE"/>
    <w:rsid w:val="62C46020"/>
    <w:rsid w:val="638F1AC6"/>
    <w:rsid w:val="639D5D9F"/>
    <w:rsid w:val="64930765"/>
    <w:rsid w:val="64BD1684"/>
    <w:rsid w:val="651D06DC"/>
    <w:rsid w:val="652534F4"/>
    <w:rsid w:val="66283B24"/>
    <w:rsid w:val="66393A09"/>
    <w:rsid w:val="67075CBC"/>
    <w:rsid w:val="67723F75"/>
    <w:rsid w:val="689C1594"/>
    <w:rsid w:val="69400D7D"/>
    <w:rsid w:val="69445844"/>
    <w:rsid w:val="6A270C76"/>
    <w:rsid w:val="6BD25164"/>
    <w:rsid w:val="6C925578"/>
    <w:rsid w:val="6D0F4CD6"/>
    <w:rsid w:val="6D516A66"/>
    <w:rsid w:val="6E075158"/>
    <w:rsid w:val="6E1309CD"/>
    <w:rsid w:val="6ECC7C7E"/>
    <w:rsid w:val="6FF974D1"/>
    <w:rsid w:val="7035344D"/>
    <w:rsid w:val="70E07E5D"/>
    <w:rsid w:val="711A6FCB"/>
    <w:rsid w:val="715C0F34"/>
    <w:rsid w:val="728101B5"/>
    <w:rsid w:val="732C24E3"/>
    <w:rsid w:val="73465611"/>
    <w:rsid w:val="742E26B1"/>
    <w:rsid w:val="74A309AA"/>
    <w:rsid w:val="74EA2F6C"/>
    <w:rsid w:val="754B02F1"/>
    <w:rsid w:val="754F5062"/>
    <w:rsid w:val="75623FCB"/>
    <w:rsid w:val="75781A4A"/>
    <w:rsid w:val="75EA7571"/>
    <w:rsid w:val="76DA4968"/>
    <w:rsid w:val="76E412B9"/>
    <w:rsid w:val="77B21ED3"/>
    <w:rsid w:val="79501771"/>
    <w:rsid w:val="79762E1A"/>
    <w:rsid w:val="799C015F"/>
    <w:rsid w:val="79DE5848"/>
    <w:rsid w:val="79EE61E8"/>
    <w:rsid w:val="7ADC39C3"/>
    <w:rsid w:val="7AFE45C4"/>
    <w:rsid w:val="7CC47118"/>
    <w:rsid w:val="7F1E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qFormat/>
    <w:uiPriority w:val="1"/>
    <w:pPr>
      <w:ind w:left="681"/>
      <w:outlineLvl w:val="0"/>
    </w:pPr>
    <w:rPr>
      <w:b/>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98"/>
    </w:pPr>
    <w:rPr>
      <w:sz w:val="24"/>
      <w:szCs w:val="24"/>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211"/>
      <w:ind w:left="198"/>
    </w:pPr>
    <w:rPr>
      <w:rFonts w:ascii="黑体" w:hAnsi="黑体" w:eastAsia="黑体" w:cs="黑体"/>
      <w:b/>
      <w:bCs/>
      <w:sz w:val="24"/>
      <w:szCs w:val="24"/>
    </w:rPr>
  </w:style>
  <w:style w:type="paragraph" w:styleId="8">
    <w:name w:val="toc 2"/>
    <w:basedOn w:val="1"/>
    <w:next w:val="1"/>
    <w:qFormat/>
    <w:uiPriority w:val="1"/>
    <w:pPr>
      <w:spacing w:before="93"/>
      <w:ind w:left="410"/>
    </w:pPr>
    <w:rPr>
      <w:rFonts w:ascii="黑体" w:hAnsi="黑体" w:eastAsia="黑体" w:cs="黑体"/>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Paragraph"/>
    <w:basedOn w:val="1"/>
    <w:qFormat/>
    <w:uiPriority w:val="1"/>
    <w:pPr>
      <w:spacing w:before="8"/>
      <w:jc w:val="center"/>
    </w:pPr>
  </w:style>
  <w:style w:type="character" w:customStyle="1" w:styleId="13">
    <w:name w:val="批注框文本 Char"/>
    <w:basedOn w:val="11"/>
    <w:link w:val="4"/>
    <w:uiPriority w:val="0"/>
    <w:rPr>
      <w:rFonts w:ascii="宋体" w:hAnsi="宋体" w:cs="宋体"/>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1446</Words>
  <Characters>8245</Characters>
  <Lines>68</Lines>
  <Paragraphs>19</Paragraphs>
  <TotalTime>2</TotalTime>
  <ScaleCrop>false</ScaleCrop>
  <LinksUpToDate>false</LinksUpToDate>
  <CharactersWithSpaces>9672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2018-06-27T01:18:00Z</dcterms:created>
  <dc:creator>得失一念间</dc:creator>
  <cp:lastModifiedBy>陈迩</cp:lastModifiedBy>
  <cp:lastPrinted>2018-09-21T03:18:00Z</cp:lastPrinted>
  <dcterms:modified xsi:type="dcterms:W3CDTF">2020-09-21T08:53:59Z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